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sz w:val="44"/>
          <w:szCs w:val="44"/>
          <w:lang w:eastAsia="zh-CN"/>
        </w:rPr>
      </w:pPr>
      <w:bookmarkStart w:id="0" w:name="_GoBack"/>
      <w:bookmarkEnd w:id="0"/>
      <w:r>
        <w:rPr>
          <w:rFonts w:hint="eastAsia" w:ascii="方正小标宋简体" w:eastAsia="方正小标宋简体"/>
          <w:sz w:val="44"/>
          <w:szCs w:val="44"/>
          <w:lang w:eastAsia="zh-CN"/>
        </w:rPr>
        <w:t>柳州市公安局2025年法治政府建设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30"/>
          <w:szCs w:val="30"/>
          <w:lang w:val="en-US" w:eastAsia="zh-CN"/>
        </w:rPr>
      </w:pPr>
      <w:r>
        <w:rPr>
          <w:rFonts w:hint="eastAsia" w:ascii="方正小标宋简体" w:eastAsia="方正小标宋简体"/>
          <w:sz w:val="44"/>
          <w:szCs w:val="44"/>
          <w:lang w:eastAsia="zh-CN"/>
        </w:rPr>
        <w:t>年度报告</w:t>
      </w:r>
    </w:p>
    <w:p>
      <w:pPr>
        <w:pStyle w:val="5"/>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32"/>
          <w:szCs w:val="32"/>
        </w:rPr>
      </w:pP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 xml:space="preserve">2025年，市公安局在市委、市政府和自治区公安厅的坚强领导下，坚持深入学习习近平法治思想，认真贯彻落实习近平总书记关于政法工作的重要指示精神和关于广西工作论述的重要要求，牢牢把握深化法治公安建设的目标方向和实现路径，找准发力点、突破口，积极构建与“专业+机制+大数据”新型警务运行模式相适应的法治保障体系，不断提升公安工作法治化水平，坚定不移保障和促进社会公平正义。现将有关情况报告如下：  </w:t>
      </w: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一、推进法治政府建设的主要举措和成效</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（一）强化政治建警，夯实法治根基</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b/>
          <w:bCs/>
          <w:kern w:val="2"/>
          <w:sz w:val="32"/>
          <w:szCs w:val="32"/>
          <w:highlight w:val="none"/>
          <w:lang w:val="en-US" w:eastAsia="zh-CN"/>
        </w:rPr>
        <w:t>一是抓牢理论武装。</w:t>
      </w:r>
      <w:r>
        <w:rPr>
          <w:rFonts w:hint="eastAsia" w:ascii="Times New Roman" w:hAnsi="Times New Roman" w:eastAsia="仿宋_GB2312" w:cs="Times New Roman"/>
          <w:kern w:val="2"/>
          <w:sz w:val="32"/>
          <w:szCs w:val="32"/>
          <w:highlight w:val="none"/>
          <w:lang w:val="en-US" w:eastAsia="zh-CN"/>
        </w:rPr>
        <w:t>将学习贯彻习近平新时代中国特色社会主义思想作为首要政治任务，严格落实“第一议题”制度，将习近平法治思</w:t>
      </w:r>
      <w:r>
        <w:rPr>
          <w:rFonts w:hint="eastAsia" w:ascii="Times New Roman" w:hAnsi="Times New Roman" w:eastAsia="仿宋_GB2312" w:cs="Times New Roman"/>
          <w:color w:val="auto"/>
          <w:kern w:val="2"/>
          <w:sz w:val="32"/>
          <w:szCs w:val="32"/>
          <w:highlight w:val="none"/>
          <w:lang w:val="en-US" w:eastAsia="zh-CN"/>
        </w:rPr>
        <w:t>想纳入市县公安机关党委理论学习中心组学习重点内容，切实将</w:t>
      </w:r>
      <w:r>
        <w:rPr>
          <w:rFonts w:hint="eastAsia" w:ascii="Times New Roman" w:hAnsi="Times New Roman" w:eastAsia="仿宋_GB2312" w:cs="Times New Roman"/>
          <w:kern w:val="2"/>
          <w:sz w:val="32"/>
          <w:szCs w:val="32"/>
          <w:highlight w:val="none"/>
          <w:lang w:val="en-US" w:eastAsia="zh-CN"/>
        </w:rPr>
        <w:t>学习成果转化为推动公安工作现代化的强大动力。</w:t>
      </w:r>
      <w:r>
        <w:rPr>
          <w:rFonts w:hint="eastAsia" w:ascii="Times New Roman" w:hAnsi="Times New Roman" w:eastAsia="仿宋_GB2312" w:cs="Times New Roman"/>
          <w:b/>
          <w:bCs/>
          <w:kern w:val="2"/>
          <w:sz w:val="32"/>
          <w:szCs w:val="32"/>
          <w:highlight w:val="none"/>
          <w:lang w:val="en-US" w:eastAsia="zh-CN"/>
        </w:rPr>
        <w:t>二是抓住关键少数。</w:t>
      </w:r>
      <w:r>
        <w:rPr>
          <w:rFonts w:hint="eastAsia" w:ascii="Times New Roman" w:hAnsi="Times New Roman" w:eastAsia="仿宋_GB2312" w:cs="Times New Roman"/>
          <w:sz w:val="32"/>
          <w:szCs w:val="32"/>
          <w:highlight w:val="none"/>
          <w:lang w:eastAsia="zh-CN"/>
        </w:rPr>
        <w:t>组织全市公安机关科级以上领导干部参加学习贯彻党的二十届</w:t>
      </w:r>
      <w:r>
        <w:rPr>
          <w:rFonts w:hint="eastAsia" w:ascii="Times New Roman" w:hAnsi="Times New Roman" w:eastAsia="仿宋_GB2312" w:cs="Times New Roman"/>
          <w:sz w:val="32"/>
          <w:szCs w:val="32"/>
          <w:highlight w:val="none"/>
          <w:lang w:val="en-US" w:eastAsia="zh-CN"/>
        </w:rPr>
        <w:t>四中</w:t>
      </w:r>
      <w:r>
        <w:rPr>
          <w:rFonts w:hint="eastAsia" w:ascii="Times New Roman" w:hAnsi="Times New Roman" w:eastAsia="仿宋_GB2312" w:cs="Times New Roman"/>
          <w:sz w:val="32"/>
          <w:szCs w:val="32"/>
          <w:highlight w:val="none"/>
          <w:lang w:eastAsia="zh-CN"/>
        </w:rPr>
        <w:t>全会精神柳州市宣讲团报告会，</w:t>
      </w:r>
      <w:r>
        <w:rPr>
          <w:rFonts w:hint="eastAsia" w:ascii="Times New Roman" w:hAnsi="Times New Roman" w:eastAsia="仿宋_GB2312" w:cs="Times New Roman"/>
          <w:sz w:val="32"/>
          <w:szCs w:val="32"/>
          <w:highlight w:val="none"/>
          <w:lang w:val="en-US" w:eastAsia="zh-CN"/>
        </w:rPr>
        <w:t>系统学习贯彻新发展理念、推进社会主义民主法治建设等内容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olor w:val="000000"/>
          <w:sz w:val="32"/>
          <w:szCs w:val="32"/>
          <w:highlight w:val="none"/>
        </w:rPr>
        <w:t>推动各级</w:t>
      </w:r>
      <w:r>
        <w:rPr>
          <w:rFonts w:hint="eastAsia" w:ascii="Times New Roman" w:hAnsi="Times New Roman" w:eastAsia="仿宋_GB2312"/>
          <w:color w:val="000000"/>
          <w:sz w:val="32"/>
          <w:szCs w:val="32"/>
          <w:highlight w:val="none"/>
          <w:lang w:eastAsia="zh-CN"/>
        </w:rPr>
        <w:t>“</w:t>
      </w:r>
      <w:r>
        <w:rPr>
          <w:rFonts w:hint="default" w:ascii="Times New Roman" w:hAnsi="Times New Roman" w:eastAsia="仿宋_GB2312"/>
          <w:color w:val="000000"/>
          <w:sz w:val="32"/>
          <w:szCs w:val="32"/>
          <w:highlight w:val="none"/>
        </w:rPr>
        <w:t>一把手</w:t>
      </w:r>
      <w:r>
        <w:rPr>
          <w:rFonts w:hint="eastAsia" w:ascii="Times New Roman" w:hAnsi="Times New Roman" w:eastAsia="仿宋_GB2312"/>
          <w:color w:val="000000"/>
          <w:sz w:val="32"/>
          <w:szCs w:val="32"/>
          <w:highlight w:val="none"/>
          <w:lang w:eastAsia="zh-CN"/>
        </w:rPr>
        <w:t>”</w:t>
      </w:r>
      <w:r>
        <w:rPr>
          <w:rFonts w:hint="default" w:ascii="Times New Roman" w:hAnsi="Times New Roman" w:eastAsia="仿宋_GB2312"/>
          <w:color w:val="000000"/>
          <w:sz w:val="32"/>
          <w:szCs w:val="32"/>
          <w:highlight w:val="none"/>
        </w:rPr>
        <w:t>上党课、政委上讲台</w:t>
      </w:r>
      <w:r>
        <w:rPr>
          <w:rFonts w:hint="eastAsia" w:ascii="Times New Roman" w:hAnsi="Times New Roman" w:eastAsia="仿宋_GB2312"/>
          <w:color w:val="000000"/>
          <w:sz w:val="32"/>
          <w:szCs w:val="32"/>
          <w:highlight w:val="none"/>
          <w:lang w:eastAsia="zh-CN"/>
        </w:rPr>
        <w:t>，</w:t>
      </w:r>
      <w:r>
        <w:rPr>
          <w:rFonts w:hint="default" w:ascii="Times New Roman" w:hAnsi="Times New Roman" w:eastAsia="仿宋_GB2312"/>
          <w:color w:val="000000"/>
          <w:sz w:val="32"/>
          <w:szCs w:val="32"/>
          <w:highlight w:val="none"/>
        </w:rPr>
        <w:t>引导</w:t>
      </w:r>
      <w:r>
        <w:rPr>
          <w:rFonts w:ascii="仿宋_GB2312" w:hAnsi="Calibri" w:eastAsia="仿宋_GB2312" w:cs="Times New Roman"/>
          <w:color w:val="000000"/>
          <w:kern w:val="2"/>
          <w:sz w:val="32"/>
          <w:szCs w:val="32"/>
          <w:highlight w:val="none"/>
        </w:rPr>
        <w:t>各级领导干部带头尊崇法治、敬畏法律，</w:t>
      </w:r>
      <w:r>
        <w:rPr>
          <w:rFonts w:ascii="Times New Roman" w:hAnsi="Times New Roman" w:eastAsia="仿宋_GB2312"/>
          <w:color w:val="000000"/>
          <w:sz w:val="32"/>
          <w:szCs w:val="32"/>
          <w:highlight w:val="none"/>
        </w:rPr>
        <w:t>使</w:t>
      </w:r>
      <w:r>
        <w:rPr>
          <w:rFonts w:ascii="仿宋_GB2312" w:hAnsi="Calibri" w:eastAsia="仿宋_GB2312" w:cs="Times New Roman"/>
          <w:color w:val="000000"/>
          <w:kern w:val="2"/>
          <w:sz w:val="32"/>
          <w:szCs w:val="32"/>
          <w:highlight w:val="none"/>
        </w:rPr>
        <w:t>尊法、学法、守法、用法成为全警的自觉行为和必备素质</w:t>
      </w:r>
      <w:r>
        <w:rPr>
          <w:rFonts w:hint="eastAsia" w:ascii="仿宋_GB2312" w:hAnsi="Calibri" w:eastAsia="仿宋_GB2312" w:cs="Times New Roman"/>
          <w:color w:val="000000"/>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三是抓好教育培训。</w:t>
      </w:r>
      <w:r>
        <w:rPr>
          <w:rFonts w:ascii="Times New Roman" w:hAnsi="Times New Roman" w:eastAsia="仿宋_GB2312"/>
          <w:color w:val="000000"/>
          <w:sz w:val="32"/>
          <w:szCs w:val="32"/>
          <w:highlight w:val="none"/>
        </w:rPr>
        <w:t>通过</w:t>
      </w:r>
      <w:r>
        <w:rPr>
          <w:rFonts w:hint="eastAsia" w:ascii="Times New Roman" w:hAnsi="Times New Roman" w:eastAsia="仿宋_GB2312"/>
          <w:color w:val="000000"/>
          <w:sz w:val="32"/>
          <w:szCs w:val="32"/>
          <w:highlight w:val="none"/>
          <w:lang w:eastAsia="zh-CN"/>
        </w:rPr>
        <w:t>举办</w:t>
      </w:r>
      <w:r>
        <w:rPr>
          <w:rFonts w:ascii="Times New Roman" w:hAnsi="Times New Roman" w:eastAsia="仿宋_GB2312"/>
          <w:color w:val="000000"/>
          <w:sz w:val="32"/>
          <w:szCs w:val="32"/>
          <w:highlight w:val="none"/>
        </w:rPr>
        <w:t>法治大讲堂、邀请专家学者授课等形式</w:t>
      </w:r>
      <w:r>
        <w:rPr>
          <w:rFonts w:hint="eastAsia" w:ascii="Times New Roman" w:hAnsi="Times New Roman" w:eastAsia="仿宋_GB2312"/>
          <w:color w:val="000000"/>
          <w:sz w:val="32"/>
          <w:szCs w:val="32"/>
          <w:highlight w:val="none"/>
        </w:rPr>
        <w:t>开展培训</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促</w:t>
      </w:r>
      <w:r>
        <w:rPr>
          <w:rFonts w:ascii="Times New Roman" w:hAnsi="Times New Roman" w:eastAsia="仿宋_GB2312"/>
          <w:color w:val="000000"/>
          <w:sz w:val="32"/>
          <w:szCs w:val="32"/>
          <w:highlight w:val="none"/>
        </w:rPr>
        <w:t>使广大领导干部和民警更加深刻领会习近平法治思想的丰富内涵和精神实质，</w:t>
      </w:r>
      <w:r>
        <w:rPr>
          <w:rFonts w:hint="eastAsia" w:ascii="Times New Roman" w:hAnsi="Times New Roman" w:eastAsia="仿宋_GB2312"/>
          <w:color w:val="000000"/>
          <w:sz w:val="32"/>
          <w:szCs w:val="32"/>
          <w:highlight w:val="none"/>
          <w:lang w:eastAsia="zh-CN"/>
        </w:rPr>
        <w:t>不断</w:t>
      </w:r>
      <w:r>
        <w:rPr>
          <w:rFonts w:ascii="Times New Roman" w:hAnsi="Times New Roman" w:eastAsia="仿宋_GB2312"/>
          <w:color w:val="000000"/>
          <w:sz w:val="32"/>
          <w:szCs w:val="32"/>
          <w:highlight w:val="none"/>
        </w:rPr>
        <w:t>提升法治素养。</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（二）深化执法规范化建设，提升执法质效</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b/>
          <w:bCs/>
          <w:kern w:val="2"/>
          <w:sz w:val="32"/>
          <w:szCs w:val="32"/>
          <w:highlight w:val="none"/>
          <w:lang w:val="en-US" w:eastAsia="zh-CN"/>
        </w:rPr>
        <w:t>一是构建规范执法培训体系。</w:t>
      </w:r>
      <w:r>
        <w:rPr>
          <w:rFonts w:hint="eastAsia" w:ascii="Times New Roman" w:hAnsi="Times New Roman" w:eastAsia="仿宋_GB2312" w:cs="Times New Roman"/>
          <w:kern w:val="2"/>
          <w:sz w:val="32"/>
          <w:szCs w:val="32"/>
          <w:highlight w:val="none"/>
          <w:lang w:val="en-US" w:eastAsia="zh-CN"/>
        </w:rPr>
        <w:t>创新“执法充电站”培训机制，通过典型案例剖析、模拟执法演练等形式，系统提升民警证据意识、程序意识和规范意识。</w:t>
      </w:r>
      <w:r>
        <w:rPr>
          <w:rFonts w:hint="eastAsia" w:ascii="Times New Roman" w:hAnsi="Times New Roman" w:eastAsia="仿宋_GB2312" w:cs="Times New Roman"/>
          <w:b/>
          <w:bCs/>
          <w:kern w:val="2"/>
          <w:sz w:val="32"/>
          <w:szCs w:val="32"/>
          <w:highlight w:val="none"/>
          <w:lang w:val="en-US" w:eastAsia="zh-CN"/>
        </w:rPr>
        <w:t>二是严格落实行政执法“三项制度”。</w:t>
      </w:r>
      <w:r>
        <w:rPr>
          <w:rFonts w:hint="eastAsia" w:ascii="Times New Roman" w:hAnsi="Times New Roman" w:eastAsia="仿宋_GB2312" w:cs="Times New Roman"/>
          <w:color w:val="auto"/>
          <w:kern w:val="2"/>
          <w:sz w:val="32"/>
          <w:szCs w:val="32"/>
          <w:highlight w:val="none"/>
          <w:lang w:val="en-US" w:eastAsia="zh-CN"/>
        </w:rPr>
        <w:t>通过交通安全综合服务管理平台、八桂警察阳光执法网等渠道公</w:t>
      </w:r>
      <w:r>
        <w:rPr>
          <w:rFonts w:hint="eastAsia" w:ascii="Times New Roman" w:hAnsi="Times New Roman" w:eastAsia="仿宋_GB2312" w:cs="Times New Roman"/>
          <w:kern w:val="2"/>
          <w:sz w:val="32"/>
          <w:szCs w:val="32"/>
          <w:highlight w:val="none"/>
          <w:lang w:val="en-US" w:eastAsia="zh-CN"/>
        </w:rPr>
        <w:t>开执法结果，落实执法活动全过程留痕、可回溯管理</w:t>
      </w:r>
      <w:r>
        <w:rPr>
          <w:rFonts w:hint="eastAsia" w:ascii="Times New Roman" w:hAnsi="Times New Roman" w:eastAsia="仿宋_GB2312" w:cs="Times New Roman"/>
          <w:b/>
          <w:bCs/>
          <w:kern w:val="2"/>
          <w:sz w:val="32"/>
          <w:szCs w:val="32"/>
          <w:highlight w:val="none"/>
          <w:lang w:val="en-US" w:eastAsia="zh-CN"/>
        </w:rPr>
        <w:t>。三是完善常态化执法监督模式。</w:t>
      </w:r>
      <w:r>
        <w:rPr>
          <w:rFonts w:hint="eastAsia" w:ascii="Times New Roman" w:hAnsi="Times New Roman" w:eastAsia="仿宋_GB2312" w:cs="Times New Roman"/>
          <w:kern w:val="2"/>
          <w:sz w:val="32"/>
          <w:szCs w:val="32"/>
          <w:highlight w:val="none"/>
          <w:lang w:val="en-US" w:eastAsia="zh-CN"/>
        </w:rPr>
        <w:t>迭代升级“数字驾驶舱”执法监督模块，推动执法办案管理中心视频监控与“情指行”一体化实战中心接入，实现执法风险问题全流程实时智能监督。</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（三）优化法治化营商环境，服务经济发展</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b/>
          <w:bCs/>
          <w:kern w:val="2"/>
          <w:sz w:val="32"/>
          <w:szCs w:val="32"/>
          <w:highlight w:val="none"/>
          <w:lang w:val="en-US" w:eastAsia="zh-CN"/>
        </w:rPr>
        <w:t>一是深化“放管服”改革。</w:t>
      </w:r>
      <w:r>
        <w:rPr>
          <w:rFonts w:hint="eastAsia" w:ascii="Times New Roman" w:hAnsi="Times New Roman" w:eastAsia="仿宋_GB2312" w:cs="Times New Roman"/>
          <w:kern w:val="2"/>
          <w:sz w:val="32"/>
          <w:szCs w:val="32"/>
          <w:highlight w:val="none"/>
          <w:lang w:val="en-US" w:eastAsia="zh-CN"/>
        </w:rPr>
        <w:t>研发“身份证自助拍照”“旅店扫码自助入住”等网办小程序，实现“15分钟公安便民服务圈”。</w:t>
      </w:r>
      <w:r>
        <w:rPr>
          <w:rFonts w:hint="eastAsia" w:ascii="Times New Roman" w:hAnsi="Times New Roman" w:eastAsia="仿宋_GB2312" w:cs="Times New Roman"/>
          <w:b/>
          <w:bCs/>
          <w:kern w:val="2"/>
          <w:sz w:val="32"/>
          <w:szCs w:val="32"/>
          <w:highlight w:val="none"/>
          <w:lang w:val="en-US" w:eastAsia="zh-CN"/>
        </w:rPr>
        <w:t>二是构建协同高效执法监管体系。</w:t>
      </w:r>
      <w:r>
        <w:rPr>
          <w:rFonts w:hint="eastAsia" w:ascii="Times New Roman" w:hAnsi="Times New Roman" w:eastAsia="仿宋_GB2312" w:cs="Times New Roman"/>
          <w:kern w:val="2"/>
          <w:sz w:val="32"/>
          <w:szCs w:val="32"/>
          <w:highlight w:val="none"/>
          <w:lang w:val="en-US" w:eastAsia="zh-CN"/>
        </w:rPr>
        <w:t>与市市场监管、农业农村等部门建立联合执法机制，全年开展联合执法行动32次。</w:t>
      </w:r>
      <w:r>
        <w:rPr>
          <w:rFonts w:hint="eastAsia" w:ascii="Times New Roman" w:hAnsi="Times New Roman" w:eastAsia="仿宋_GB2312" w:cs="Times New Roman"/>
          <w:b/>
          <w:bCs/>
          <w:kern w:val="2"/>
          <w:sz w:val="32"/>
          <w:szCs w:val="32"/>
          <w:highlight w:val="none"/>
          <w:lang w:val="en-US" w:eastAsia="zh-CN"/>
        </w:rPr>
        <w:t>三是纵深推进“一窗通办”品牌建设。</w:t>
      </w:r>
      <w:r>
        <w:rPr>
          <w:rFonts w:hint="eastAsia" w:ascii="Times New Roman" w:hAnsi="Times New Roman" w:eastAsia="仿宋_GB2312" w:cs="Times New Roman"/>
          <w:kern w:val="2"/>
          <w:sz w:val="32"/>
          <w:szCs w:val="32"/>
          <w:highlight w:val="none"/>
          <w:lang w:val="en-US" w:eastAsia="zh-CN"/>
        </w:rPr>
        <w:t>市级“一窗通办”窗口涵盖5项行政许可事项，同步提供3项便民服务，实现群众和企业办事“就近办、一次办、集成办”。</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（四）多维度创新普法宣传模式，推动法治深入人心</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b/>
          <w:bCs/>
          <w:kern w:val="2"/>
          <w:sz w:val="32"/>
          <w:szCs w:val="32"/>
          <w:highlight w:val="none"/>
          <w:lang w:val="en-US" w:eastAsia="zh-CN"/>
        </w:rPr>
        <w:t>一是严格落实“谁执法谁普法”责任制度。</w:t>
      </w:r>
      <w:r>
        <w:rPr>
          <w:rFonts w:hint="eastAsia" w:ascii="Times New Roman" w:hAnsi="Times New Roman" w:eastAsia="仿宋_GB2312" w:cs="Times New Roman"/>
          <w:color w:val="auto"/>
          <w:kern w:val="2"/>
          <w:sz w:val="32"/>
          <w:szCs w:val="32"/>
          <w:highlight w:val="none"/>
          <w:lang w:val="en-US" w:eastAsia="zh-CN"/>
        </w:rPr>
        <w:t>结合“4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highlight w:val="none"/>
          <w:lang w:val="en-US" w:eastAsia="zh-CN"/>
        </w:rPr>
        <w:t>15”全民国家安全教育日等节点，开展法治宣传教育活动。成功举办“</w:t>
      </w:r>
      <w:r>
        <w:rPr>
          <w:rFonts w:hint="eastAsia" w:ascii="Times New Roman" w:hAnsi="Times New Roman" w:eastAsia="仿宋_GB2312" w:cs="Times New Roman"/>
          <w:color w:val="auto"/>
          <w:sz w:val="32"/>
          <w:szCs w:val="32"/>
          <w:highlight w:val="none"/>
        </w:rPr>
        <w:t>龙城美警、平安同行</w:t>
      </w:r>
      <w:r>
        <w:rPr>
          <w:rFonts w:hint="eastAsia" w:ascii="Times New Roman" w:hAnsi="Times New Roman" w:eastAsia="仿宋_GB2312" w:cs="Times New Roman"/>
          <w:color w:val="auto"/>
          <w:kern w:val="2"/>
          <w:sz w:val="32"/>
          <w:szCs w:val="32"/>
          <w:highlight w:val="none"/>
          <w:lang w:val="en-US" w:eastAsia="zh-CN"/>
        </w:rPr>
        <w:t>”110警营开放日活动，吸引近8万名群众参与。</w:t>
      </w:r>
      <w:r>
        <w:rPr>
          <w:rFonts w:hint="eastAsia" w:ascii="Times New Roman" w:hAnsi="Times New Roman" w:eastAsia="仿宋_GB2312" w:cs="Times New Roman"/>
          <w:b/>
          <w:bCs/>
          <w:color w:val="auto"/>
          <w:kern w:val="2"/>
          <w:sz w:val="32"/>
          <w:szCs w:val="32"/>
          <w:highlight w:val="none"/>
          <w:lang w:val="en-US" w:eastAsia="zh-CN"/>
        </w:rPr>
        <w:t>二是构建警媒协作新机制打造普法互动品牌</w:t>
      </w:r>
      <w:r>
        <w:rPr>
          <w:rFonts w:hint="eastAsia" w:ascii="Times New Roman" w:hAnsi="Times New Roman" w:eastAsia="仿宋_GB2312" w:cs="Times New Roman"/>
          <w:b/>
          <w:bCs/>
          <w:kern w:val="2"/>
          <w:sz w:val="32"/>
          <w:szCs w:val="32"/>
          <w:highlight w:val="none"/>
          <w:lang w:val="en-US" w:eastAsia="zh-CN"/>
        </w:rPr>
        <w:t>。</w:t>
      </w:r>
      <w:r>
        <w:rPr>
          <w:rFonts w:hint="eastAsia" w:ascii="Times New Roman" w:hAnsi="Times New Roman" w:eastAsia="仿宋_GB2312" w:cs="Times New Roman"/>
          <w:b w:val="0"/>
          <w:bCs w:val="0"/>
          <w:kern w:val="2"/>
          <w:sz w:val="32"/>
          <w:szCs w:val="32"/>
          <w:highlight w:val="none"/>
          <w:lang w:val="en-US" w:eastAsia="zh-CN"/>
        </w:rPr>
        <w:t>推动普法宣传与群众生活深度融合，将反诈宣传、交通安全提示等内容嵌入马拉松等群众性活动，以“陪伴式服务”普及法律知识；推出“螺警官”系列文创产品，通过表情包、反诈小案例视频等载体，实现防盗、防骗、交通法规等内容的“破圈”传播；依托“柳州警媒融创传播中心”，以短视频、直播互动等形式精准推送法治案例、法律解读，新媒体矩阵全年播放量突破2400万次，单场直播观看量达1682万人次。</w:t>
      </w:r>
      <w:r>
        <w:rPr>
          <w:rFonts w:hint="eastAsia" w:ascii="Times New Roman" w:hAnsi="Times New Roman" w:eastAsia="仿宋_GB2312" w:cs="Times New Roman"/>
          <w:b/>
          <w:bCs/>
          <w:kern w:val="2"/>
          <w:sz w:val="32"/>
          <w:szCs w:val="32"/>
          <w:highlight w:val="none"/>
          <w:lang w:val="en-US" w:eastAsia="zh-CN"/>
        </w:rPr>
        <w:t>三是创新立体传播新路径。</w:t>
      </w:r>
      <w:r>
        <w:rPr>
          <w:rFonts w:hint="eastAsia" w:ascii="仿宋_GB2312" w:hAnsi="仿宋_GB2312" w:eastAsia="仿宋_GB2312" w:cs="仿宋_GB2312"/>
          <w:kern w:val="2"/>
          <w:sz w:val="32"/>
          <w:szCs w:val="32"/>
          <w:lang w:val="en-US" w:eastAsia="zh-CN" w:bidi="ar-SA"/>
        </w:rPr>
        <w:t>创新打造“柳味”反诈宣传品牌，</w:t>
      </w:r>
      <w:r>
        <w:rPr>
          <w:rFonts w:hint="eastAsia" w:ascii="Times New Roman" w:hAnsi="Times New Roman" w:eastAsia="仿宋_GB2312" w:cs="Times New Roman"/>
          <w:kern w:val="2"/>
          <w:sz w:val="32"/>
          <w:szCs w:val="32"/>
          <w:highlight w:val="none"/>
          <w:lang w:val="en-US" w:eastAsia="zh-CN"/>
        </w:rPr>
        <w:t>通过“权威说反诈”系列宣防工程，</w:t>
      </w:r>
      <w:r>
        <w:rPr>
          <w:rFonts w:hint="eastAsia" w:ascii="仿宋_GB2312" w:hAnsi="仿宋_GB2312" w:eastAsia="仿宋_GB2312" w:cs="仿宋_GB2312"/>
          <w:kern w:val="2"/>
          <w:sz w:val="32"/>
          <w:szCs w:val="32"/>
          <w:lang w:val="en-US" w:eastAsia="zh-CN" w:bidi="ar-SA"/>
        </w:rPr>
        <w:t>邀请公安</w:t>
      </w:r>
      <w:r>
        <w:rPr>
          <w:rFonts w:hint="default" w:ascii="Times New Roman" w:hAnsi="Times New Roman" w:eastAsia="仿宋_GB2312" w:cs="Times New Roman"/>
          <w:kern w:val="2"/>
          <w:sz w:val="32"/>
          <w:szCs w:val="32"/>
          <w:lang w:val="en-US" w:eastAsia="zh-CN" w:bidi="ar-SA"/>
        </w:rPr>
        <w:t>局长、</w:t>
      </w:r>
      <w:r>
        <w:rPr>
          <w:rFonts w:hint="eastAsia" w:ascii="Times New Roman" w:hAnsi="Times New Roman" w:eastAsia="仿宋_GB2312" w:cs="Times New Roman"/>
          <w:sz w:val="32"/>
          <w:szCs w:val="32"/>
          <w:highlight w:val="none"/>
        </w:rPr>
        <w:t>街道</w:t>
      </w:r>
      <w:r>
        <w:rPr>
          <w:rFonts w:hint="eastAsia" w:ascii="Times New Roman" w:hAnsi="Times New Roman" w:eastAsia="仿宋_GB2312" w:cs="Times New Roman"/>
          <w:kern w:val="2"/>
          <w:sz w:val="32"/>
          <w:szCs w:val="32"/>
          <w:highlight w:val="none"/>
          <w:lang w:val="en-US" w:eastAsia="zh-CN"/>
        </w:rPr>
        <w:t>（乡镇）</w:t>
      </w:r>
      <w:r>
        <w:rPr>
          <w:rFonts w:hint="eastAsia" w:ascii="Times New Roman" w:hAnsi="Times New Roman" w:eastAsia="仿宋_GB2312" w:cs="Times New Roman"/>
          <w:sz w:val="32"/>
          <w:szCs w:val="32"/>
          <w:highlight w:val="none"/>
        </w:rPr>
        <w:t>书记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lang w:val="en-US" w:eastAsia="zh-CN" w:bidi="ar-SA"/>
        </w:rPr>
        <w:t>团委书记</w:t>
      </w:r>
      <w:r>
        <w:rPr>
          <w:rFonts w:hint="eastAsia" w:eastAsia="仿宋_GB2312" w:cs="Times New Roman"/>
          <w:kern w:val="2"/>
          <w:sz w:val="32"/>
          <w:szCs w:val="32"/>
          <w:lang w:val="en-US" w:eastAsia="zh-CN" w:bidi="ar-SA"/>
        </w:rPr>
        <w:t>、学校校长、银行行长</w:t>
      </w:r>
      <w:r>
        <w:rPr>
          <w:rFonts w:hint="default"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eastAsia="zh-CN" w:bidi="ar-SA"/>
        </w:rPr>
        <w:t>社会各界权威人士拍摄宣传视频</w:t>
      </w:r>
      <w:r>
        <w:rPr>
          <w:rFonts w:hint="eastAsia" w:ascii="Times New Roman" w:hAnsi="Times New Roman" w:eastAsia="仿宋_GB2312" w:cs="Times New Roman"/>
          <w:kern w:val="2"/>
          <w:sz w:val="32"/>
          <w:szCs w:val="32"/>
          <w:highlight w:val="none"/>
          <w:lang w:val="en-US" w:eastAsia="zh-CN"/>
        </w:rPr>
        <w:t xml:space="preserve">，精准触达170万人次，推动近70%的社区（村）实现电诈“零发案”。  </w:t>
      </w: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二、推进法治政府建设存在的不足及原因</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（一）重大行政决策目录制定以及公开程序仍需规范。</w:t>
      </w:r>
      <w:r>
        <w:rPr>
          <w:rFonts w:hint="eastAsia" w:ascii="Times New Roman" w:hAnsi="Times New Roman" w:eastAsia="仿宋_GB2312" w:cs="Times New Roman"/>
          <w:kern w:val="2"/>
          <w:sz w:val="32"/>
          <w:szCs w:val="32"/>
          <w:highlight w:val="none"/>
          <w:lang w:val="en-US" w:eastAsia="zh-CN"/>
        </w:rPr>
        <w:t>市公安局始终将重大行政决策的科学化、民主化、法治化作为提升依法行政水平的重要抓手，但当前在重大行政决策目录制定、程序规范及目录公开等方面仍存在制度不健全、监督不闭环等问题，亟需制度性完善。</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（二）跨部门协同配合工作制度有待加强。</w:t>
      </w:r>
      <w:r>
        <w:rPr>
          <w:rFonts w:hint="eastAsia" w:ascii="Times New Roman" w:hAnsi="Times New Roman" w:eastAsia="仿宋_GB2312" w:cs="Times New Roman"/>
          <w:b/>
          <w:bCs/>
          <w:kern w:val="2"/>
          <w:sz w:val="32"/>
          <w:szCs w:val="32"/>
          <w:highlight w:val="none"/>
          <w:lang w:val="en-US" w:eastAsia="zh-CN"/>
        </w:rPr>
        <w:t>一是非公安警情业务分流沟通机制不够健全。</w:t>
      </w:r>
      <w:r>
        <w:rPr>
          <w:rFonts w:hint="eastAsia" w:ascii="Times New Roman" w:hAnsi="Times New Roman" w:eastAsia="仿宋_GB2312" w:cs="Times New Roman"/>
          <w:kern w:val="2"/>
          <w:sz w:val="32"/>
          <w:szCs w:val="32"/>
          <w:highlight w:val="none"/>
          <w:lang w:val="en-US" w:eastAsia="zh-CN"/>
        </w:rPr>
        <w:t>工作中存在跨部门协同联动不到位、政府各部门解决矛盾纠纷工作合力需进一步凝聚等问题，公安机关在履行主责主业时面临“多头管理”“职责外延”等现实困境。</w:t>
      </w:r>
      <w:r>
        <w:rPr>
          <w:rFonts w:hint="eastAsia" w:ascii="Times New Roman" w:hAnsi="Times New Roman" w:eastAsia="仿宋_GB2312" w:cs="Times New Roman"/>
          <w:b/>
          <w:bCs/>
          <w:kern w:val="2"/>
          <w:sz w:val="32"/>
          <w:szCs w:val="32"/>
          <w:highlight w:val="none"/>
          <w:lang w:val="en-US" w:eastAsia="zh-CN"/>
        </w:rPr>
        <w:t>二是跨部门打击治理电诈能力有待加强。</w:t>
      </w:r>
      <w:r>
        <w:rPr>
          <w:rFonts w:hint="eastAsia" w:ascii="Times New Roman" w:hAnsi="Times New Roman" w:eastAsia="仿宋_GB2312" w:cs="Times New Roman"/>
          <w:kern w:val="2"/>
          <w:sz w:val="32"/>
          <w:szCs w:val="32"/>
          <w:highlight w:val="none"/>
          <w:lang w:val="en-US" w:eastAsia="zh-CN"/>
        </w:rPr>
        <w:t>反诈宣传工作存在责任链条传导不到位现象，源头管控压力未能有效传导至基层职能部门，协同机制不够健全，导致刷单返利类案件和虚假购物、服务类诈骗案件数量居高不下，公安、金融、网信、市场监管、工信等部门在反诈预防管理等方面尚未形成更为有效的治理合力。</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（三）法制赋能实战能力还有待加强</w:t>
      </w:r>
      <w:r>
        <w:rPr>
          <w:rFonts w:hint="eastAsia" w:ascii="Times New Roman" w:hAnsi="Times New Roman" w:eastAsia="仿宋_GB2312" w:cs="Times New Roman"/>
          <w:kern w:val="2"/>
          <w:sz w:val="32"/>
          <w:szCs w:val="32"/>
          <w:highlight w:val="none"/>
          <w:lang w:val="en-US" w:eastAsia="zh-CN"/>
        </w:rPr>
        <w:t xml:space="preserve">。公安机关部分法制员的专业能力不强，经验积累不够，为一线民警提供服务咨询方式较单一，对基层办案民警的法律指导还不够精准、不够到位，一定程度上影响了打击犯罪的效率和战果，还需加强法制员专业培训，进一步提升法制员素质能力。  </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三、党政主要负责人履行推进法治建设第一责任人职责情况</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（一）加强党对法治建设的领导</w:t>
      </w:r>
      <w:r>
        <w:rPr>
          <w:rFonts w:hint="eastAsia" w:ascii="Times New Roman" w:hAnsi="Times New Roman" w:eastAsia="仿宋_GB2312" w:cs="Times New Roman"/>
          <w:kern w:val="2"/>
          <w:sz w:val="32"/>
          <w:szCs w:val="32"/>
          <w:highlight w:val="none"/>
          <w:lang w:val="en-US" w:eastAsia="zh-CN"/>
        </w:rPr>
        <w:t>。落实“第一议题”制度，将学习贯彻党的二十大和二十届历次全会精神，习近平总书记重要讲话、重要指示批示和习近平法治思想等列为市公安局党委会“第一议题”，全市公安机关各级各部门主要负责同志发挥好示范作用，切实履行好推进法治建设第一责任人责任，把法治建设放在心上、扛在肩上、抓在手上，统筹整合资源力量，主动将习近平法治思想贯穿法治公安建设的各领域和全过程。</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（二）全面落实负责人出庭应诉工作</w:t>
      </w:r>
      <w:r>
        <w:rPr>
          <w:rFonts w:hint="eastAsia" w:ascii="Times New Roman" w:hAnsi="Times New Roman" w:eastAsia="仿宋_GB2312" w:cs="Times New Roman"/>
          <w:kern w:val="2"/>
          <w:sz w:val="32"/>
          <w:szCs w:val="32"/>
          <w:highlight w:val="none"/>
          <w:lang w:val="en-US" w:eastAsia="zh-CN"/>
        </w:rPr>
        <w:t xml:space="preserve">。加强行政机关负责人出庭应诉工作，强化全市公安机关各级领导法治意识、促进执法规范化养成，提升妥善处理纠纷、化解矛盾的能力和水平。对因当事人不服市公安局作出的行政复议而提起行政诉讼的案件，市公安局主要负责人严格按照相关规定积极参与诉讼活动，并将出庭应诉、支持人民法院受理和审理行政案件、履行人民法院生效裁判、行政应诉能力建设以及出庭应诉等情况纳入全市公安机关年度执法质量评估范围。 </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（三）扎实推进执法信息公开</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b w:val="0"/>
          <w:bCs w:val="0"/>
          <w:kern w:val="2"/>
          <w:sz w:val="32"/>
          <w:szCs w:val="32"/>
          <w:highlight w:val="none"/>
          <w:lang w:val="en-US" w:eastAsia="zh-CN"/>
        </w:rPr>
        <w:t>全面梳理行政审批事项，</w:t>
      </w:r>
      <w:r>
        <w:rPr>
          <w:rFonts w:hint="eastAsia" w:ascii="Times New Roman" w:hAnsi="Times New Roman" w:eastAsia="仿宋_GB2312" w:cs="Times New Roman"/>
          <w:kern w:val="2"/>
          <w:sz w:val="32"/>
          <w:szCs w:val="32"/>
          <w:highlight w:val="none"/>
          <w:lang w:val="en-US" w:eastAsia="zh-CN"/>
        </w:rPr>
        <w:t>动态调整行政审批事项清单，进一步加强对行政权力的监督和制约。及时更新政府信息公开指南、公开目录，充分保障群众知情权、参与权、监督权。</w:t>
      </w:r>
      <w:r>
        <w:rPr>
          <w:rFonts w:hint="eastAsia" w:ascii="Times New Roman" w:hAnsi="Times New Roman" w:eastAsia="仿宋_GB2312" w:cs="Times New Roman"/>
          <w:b w:val="0"/>
          <w:bCs w:val="0"/>
          <w:kern w:val="2"/>
          <w:sz w:val="32"/>
          <w:szCs w:val="32"/>
          <w:highlight w:val="none"/>
          <w:lang w:val="en-US" w:eastAsia="zh-CN"/>
        </w:rPr>
        <w:t>严格落实行政执法“三项制度”，</w:t>
      </w:r>
      <w:r>
        <w:rPr>
          <w:rFonts w:hint="eastAsia" w:ascii="Times New Roman" w:hAnsi="Times New Roman" w:eastAsia="仿宋_GB2312" w:cs="Times New Roman"/>
          <w:kern w:val="2"/>
          <w:sz w:val="32"/>
          <w:szCs w:val="32"/>
          <w:highlight w:val="none"/>
          <w:lang w:val="en-US" w:eastAsia="zh-CN"/>
        </w:rPr>
        <w:t>将行政执法公示制度、行政执法全流程记录制度、重大执法决定法制审核制度作为全市公安机关执法规范化建设重点工程，并将行政执</w:t>
      </w:r>
      <w:r>
        <w:rPr>
          <w:rFonts w:hint="eastAsia" w:ascii="Times New Roman" w:hAnsi="Times New Roman" w:eastAsia="仿宋_GB2312" w:cs="Times New Roman"/>
          <w:color w:val="auto"/>
          <w:kern w:val="2"/>
          <w:sz w:val="32"/>
          <w:szCs w:val="32"/>
          <w:highlight w:val="none"/>
          <w:lang w:val="en-US" w:eastAsia="zh-CN"/>
        </w:rPr>
        <w:t>法结果在交通安全综合服务管理平台、八桂警察阳光执法网和市</w:t>
      </w:r>
      <w:r>
        <w:rPr>
          <w:rFonts w:hint="eastAsia" w:ascii="Times New Roman" w:hAnsi="Times New Roman" w:eastAsia="仿宋_GB2312" w:cs="Times New Roman"/>
          <w:kern w:val="2"/>
          <w:sz w:val="32"/>
          <w:szCs w:val="32"/>
          <w:highlight w:val="none"/>
          <w:lang w:val="en-US" w:eastAsia="zh-CN"/>
        </w:rPr>
        <w:t>公安局互联网网站进行公开。</w:t>
      </w: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四、2026年度推进法治政府建设的主要安排</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坚持以习近平法治思想为指导，深入贯彻落实党的二十届四中全会关于推进</w:t>
      </w:r>
      <w:r>
        <w:rPr>
          <w:rFonts w:hint="eastAsia" w:ascii="Times New Roman" w:hAnsi="Times New Roman" w:eastAsia="仿宋_GB2312" w:cs="Times New Roman"/>
          <w:sz w:val="32"/>
          <w:szCs w:val="32"/>
          <w:highlight w:val="none"/>
        </w:rPr>
        <w:t>社会主义民主法治建设</w:t>
      </w:r>
      <w:r>
        <w:rPr>
          <w:rFonts w:hint="eastAsia" w:ascii="Times New Roman" w:hAnsi="Times New Roman" w:eastAsia="仿宋_GB2312" w:cs="Times New Roman"/>
          <w:kern w:val="2"/>
          <w:sz w:val="32"/>
          <w:szCs w:val="32"/>
          <w:highlight w:val="none"/>
          <w:lang w:val="en-US" w:eastAsia="zh-CN"/>
        </w:rPr>
        <w:t>的重要精神，以及自治区和柳州市委、市政府的工作部署，立足公安机关主责主业，加快推进法治公安建设，为在全市营造崇尚法治、恪守规则、尊重契约、维护公正的良好环境，建设更高水平的法治柳州贡献公安力量。</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（一）忠诚履职担当，筑牢政治安全防线</w:t>
      </w:r>
      <w:r>
        <w:rPr>
          <w:rFonts w:hint="eastAsia" w:ascii="Times New Roman" w:hAnsi="Times New Roman" w:eastAsia="仿宋_GB2312" w:cs="Times New Roman"/>
          <w:kern w:val="2"/>
          <w:sz w:val="32"/>
          <w:szCs w:val="32"/>
          <w:highlight w:val="none"/>
          <w:lang w:val="en-US" w:eastAsia="zh-CN"/>
        </w:rPr>
        <w:t>。坚定不移贯彻总体国家安全观，将捍卫政治安全</w:t>
      </w:r>
      <w:r>
        <w:rPr>
          <w:rFonts w:hint="eastAsia" w:ascii="Times New Roman" w:hAnsi="Times New Roman" w:eastAsia="仿宋_GB2312" w:cs="Times New Roman"/>
          <w:color w:val="auto"/>
          <w:kern w:val="2"/>
          <w:sz w:val="32"/>
          <w:szCs w:val="32"/>
          <w:highlight w:val="none"/>
          <w:lang w:val="en-US" w:eastAsia="zh-CN"/>
        </w:rPr>
        <w:t>摆在首位，</w:t>
      </w:r>
      <w:r>
        <w:rPr>
          <w:rFonts w:hint="eastAsia" w:ascii="Times New Roman" w:hAnsi="Times New Roman" w:eastAsia="仿宋_GB2312" w:cs="Times New Roman"/>
          <w:kern w:val="2"/>
          <w:sz w:val="32"/>
          <w:szCs w:val="32"/>
          <w:highlight w:val="none"/>
          <w:lang w:val="en-US" w:eastAsia="zh-CN"/>
        </w:rPr>
        <w:t xml:space="preserve">强化政治安全风险研判和情报线索收集，严密防范敌对势力渗透颠覆活动，落实反恐防恐各项措施，提升应对重大突发事件和复杂局面的能力，坚决守住政治安全底线。  </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ascii="Times New Roman" w:hAnsi="Times New Roman" w:eastAsia="仿宋_GB2312"/>
          <w:sz w:val="32"/>
          <w:szCs w:val="32"/>
        </w:rPr>
      </w:pPr>
      <w:r>
        <w:rPr>
          <w:rFonts w:hint="eastAsia" w:ascii="楷体_GB2312" w:hAnsi="楷体_GB2312" w:eastAsia="楷体_GB2312" w:cs="楷体_GB2312"/>
          <w:kern w:val="2"/>
          <w:sz w:val="32"/>
          <w:szCs w:val="32"/>
          <w:highlight w:val="none"/>
          <w:lang w:val="en-US" w:eastAsia="zh-CN"/>
        </w:rPr>
        <w:t>（二）聚焦主责主业，深化打击犯罪效能</w:t>
      </w:r>
      <w:r>
        <w:rPr>
          <w:rFonts w:hint="eastAsia" w:ascii="Times New Roman" w:hAnsi="Times New Roman" w:eastAsia="仿宋_GB2312" w:cs="Times New Roman"/>
          <w:kern w:val="2"/>
          <w:sz w:val="32"/>
          <w:szCs w:val="32"/>
          <w:highlight w:val="none"/>
          <w:lang w:val="en-US" w:eastAsia="zh-CN"/>
        </w:rPr>
        <w:t>。依托警情日研判机制，结合我市高发案件态势，</w:t>
      </w:r>
      <w:r>
        <w:rPr>
          <w:rFonts w:ascii="Times New Roman" w:hAnsi="Times New Roman" w:eastAsia="仿宋_GB2312"/>
          <w:sz w:val="32"/>
          <w:szCs w:val="32"/>
        </w:rPr>
        <w:t>深化专业研究、集成专业手段、强化专业攻坚、提高警种专业能力</w:t>
      </w:r>
      <w:r>
        <w:rPr>
          <w:rFonts w:hint="eastAsia" w:ascii="Times New Roman" w:hAnsi="Times New Roman" w:eastAsia="仿宋_GB2312"/>
          <w:sz w:val="32"/>
          <w:szCs w:val="32"/>
        </w:rPr>
        <w:t>，</w:t>
      </w:r>
      <w:r>
        <w:rPr>
          <w:rFonts w:ascii="Times New Roman" w:hAnsi="Times New Roman" w:eastAsia="仿宋_GB2312"/>
          <w:sz w:val="32"/>
          <w:szCs w:val="32"/>
        </w:rPr>
        <w:t>进一步探索</w:t>
      </w:r>
      <w:r>
        <w:rPr>
          <w:rFonts w:hint="eastAsia" w:ascii="Times New Roman" w:hAnsi="Times New Roman" w:eastAsia="仿宋_GB2312"/>
          <w:sz w:val="32"/>
          <w:szCs w:val="32"/>
          <w:lang w:eastAsia="zh-CN"/>
        </w:rPr>
        <w:t>“人工智能</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”赋能公安实战工作</w:t>
      </w:r>
      <w:r>
        <w:rPr>
          <w:rFonts w:ascii="Times New Roman" w:hAnsi="Times New Roman" w:eastAsia="仿宋_GB2312"/>
          <w:sz w:val="32"/>
          <w:szCs w:val="32"/>
        </w:rPr>
        <w:t>，推进大数据实战中心更好为专业警种、基层一线实战赋能。</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（三）深化主防工作，落实主动警务预防警务</w:t>
      </w:r>
      <w:r>
        <w:rPr>
          <w:rFonts w:hint="eastAsia" w:ascii="Times New Roman" w:hAnsi="Times New Roman" w:eastAsia="仿宋_GB2312" w:cs="Times New Roman"/>
          <w:kern w:val="2"/>
          <w:sz w:val="32"/>
          <w:szCs w:val="32"/>
          <w:highlight w:val="none"/>
          <w:lang w:val="en-US" w:eastAsia="zh-CN"/>
        </w:rPr>
        <w:t>。健全基础管控中心运行机制，强化社区警务和基层治理，深化矛盾纠纷排查化解和命案预防工作。加强重点行业管理及未成年人违法犯罪预防矫治，推进交通安全综合治理，以良好的社会治安环境和安全畅通的道路交通环境护航经济社会高质量发展。</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（四）服务发展大局，优化法治化营商环境</w:t>
      </w:r>
      <w:r>
        <w:rPr>
          <w:rFonts w:hint="eastAsia" w:ascii="Times New Roman" w:hAnsi="Times New Roman" w:eastAsia="仿宋_GB2312" w:cs="Times New Roman"/>
          <w:kern w:val="2"/>
          <w:sz w:val="32"/>
          <w:szCs w:val="32"/>
          <w:highlight w:val="none"/>
          <w:lang w:val="en-US" w:eastAsia="zh-CN"/>
        </w:rPr>
        <w:t xml:space="preserve">。推进公安政务服务改革，拓展“互联网+公安”服务渠道，推出更多便民利企举措，落实“一网通办、只进一门、最多跑一次”措施，持续提升群众满意度和企业获得感。  </w:t>
      </w:r>
    </w:p>
    <w:p>
      <w:pPr>
        <w:pStyle w:val="16"/>
        <w:keepNext w:val="0"/>
        <w:keepLines w:val="0"/>
        <w:pageBreakBefore w:val="0"/>
        <w:kinsoku/>
        <w:wordWrap/>
        <w:overflowPunct/>
        <w:topLinePunct w:val="0"/>
        <w:autoSpaceDE/>
        <w:autoSpaceDN/>
        <w:bidi w:val="0"/>
        <w:adjustRightInd/>
        <w:snapToGrid/>
        <w:spacing w:line="520" w:lineRule="exact"/>
        <w:ind w:right="0" w:firstLine="640" w:firstLineChars="200"/>
        <w:jc w:val="both"/>
        <w:textAlignment w:val="auto"/>
        <w:rPr>
          <w:rFonts w:hint="eastAsia" w:ascii="Times New Roman" w:hAnsi="Times New Roman" w:cs="Times New Roman"/>
          <w:sz w:val="30"/>
          <w:szCs w:val="30"/>
        </w:rPr>
      </w:pPr>
      <w:r>
        <w:rPr>
          <w:rFonts w:hint="eastAsia" w:ascii="楷体_GB2312" w:hAnsi="楷体_GB2312" w:eastAsia="楷体_GB2312" w:cs="楷体_GB2312"/>
          <w:kern w:val="2"/>
          <w:sz w:val="32"/>
          <w:szCs w:val="32"/>
          <w:highlight w:val="none"/>
          <w:lang w:val="en-US" w:eastAsia="zh-CN"/>
        </w:rPr>
        <w:t>（五）锤炼严实作风，锻造过硬公安队伍</w:t>
      </w:r>
      <w:r>
        <w:rPr>
          <w:rFonts w:hint="eastAsia" w:ascii="Times New Roman" w:hAnsi="Times New Roman" w:eastAsia="仿宋_GB2312" w:cs="Times New Roman"/>
          <w:kern w:val="2"/>
          <w:sz w:val="32"/>
          <w:szCs w:val="32"/>
          <w:highlight w:val="none"/>
          <w:lang w:val="en-US" w:eastAsia="zh-CN"/>
        </w:rPr>
        <w:t>。深入贯彻新时代党的建警治警方针，强化纪律作风建设，整治队伍“慵懒散浮怨”问题。创新“科技+”“网络+”训练模式，构建“教学研练战”一体化人才培养体系，打造政治过硬、业务精湛、作风优良的高素质公安队伍。</w:t>
      </w:r>
    </w:p>
    <w:p>
      <w:pPr>
        <w:keepNext w:val="0"/>
        <w:keepLines w:val="0"/>
        <w:pageBreakBefore w:val="0"/>
        <w:widowControl w:val="0"/>
        <w:kinsoku/>
        <w:wordWrap/>
        <w:overflowPunct/>
        <w:topLinePunct w:val="0"/>
        <w:autoSpaceDE/>
        <w:autoSpaceDN/>
        <w:bidi w:val="0"/>
        <w:adjustRightInd/>
        <w:snapToGrid/>
        <w:spacing w:afterLines="0" w:line="560" w:lineRule="exact"/>
        <w:ind w:right="0" w:firstLine="600" w:firstLineChars="200"/>
        <w:jc w:val="left"/>
        <w:textAlignment w:val="auto"/>
        <w:rPr>
          <w:rFonts w:hint="eastAsia" w:ascii="宋体" w:hAnsi="宋体" w:cs="宋体"/>
          <w:sz w:val="30"/>
          <w:szCs w:val="30"/>
          <w:lang w:val="en-US" w:eastAsia="zh-CN"/>
        </w:rPr>
      </w:pPr>
      <w:r>
        <w:rPr>
          <w:rFonts w:hint="eastAsia" w:ascii="宋体" w:hAnsi="宋体" w:cs="宋体"/>
          <w:sz w:val="30"/>
          <w:szCs w:val="30"/>
          <w:lang w:val="en-US" w:eastAsia="zh-CN"/>
        </w:rPr>
        <w:t xml:space="preserve"> </w:t>
      </w:r>
    </w:p>
    <w:p>
      <w:pPr>
        <w:pStyle w:val="2"/>
        <w:keepNext w:val="0"/>
        <w:keepLines w:val="0"/>
        <w:pageBreakBefore w:val="0"/>
        <w:kinsoku/>
        <w:wordWrap/>
        <w:overflowPunct/>
        <w:topLinePunct w:val="0"/>
        <w:autoSpaceDE/>
        <w:autoSpaceDN/>
        <w:bidi w:val="0"/>
        <w:adjustRightInd/>
        <w:snapToGrid/>
        <w:spacing w:after="0" w:afterLines="0" w:line="560" w:lineRule="exact"/>
        <w:ind w:right="0" w:firstLine="640" w:firstLineChars="200"/>
        <w:jc w:val="left"/>
        <w:textAlignment w:val="auto"/>
        <w:rPr>
          <w:rFonts w:hint="eastAsia"/>
        </w:rPr>
      </w:pPr>
    </w:p>
    <w:p>
      <w:pPr>
        <w:pStyle w:val="3"/>
        <w:spacing w:afterLines="0" w:line="560" w:lineRule="exact"/>
        <w:ind w:left="0" w:leftChars="0"/>
        <w:jc w:val="left"/>
        <w:rPr>
          <w:rFonts w:hint="eastAsia"/>
        </w:rPr>
      </w:pPr>
    </w:p>
    <w:p>
      <w:pPr>
        <w:keepNext w:val="0"/>
        <w:keepLines w:val="0"/>
        <w:pageBreakBefore w:val="0"/>
        <w:widowControl w:val="0"/>
        <w:kinsoku/>
        <w:wordWrap/>
        <w:overflowPunct/>
        <w:topLinePunct w:val="0"/>
        <w:autoSpaceDE/>
        <w:autoSpaceDN/>
        <w:bidi w:val="0"/>
        <w:adjustRightInd/>
        <w:snapToGrid/>
        <w:spacing w:afterLines="0" w:line="560" w:lineRule="exact"/>
        <w:ind w:right="0" w:firstLine="640" w:firstLineChars="200"/>
        <w:jc w:val="left"/>
        <w:textAlignment w:val="auto"/>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柳州市公安局</w:t>
      </w:r>
    </w:p>
    <w:p>
      <w:pPr>
        <w:keepNext w:val="0"/>
        <w:keepLines w:val="0"/>
        <w:pageBreakBefore w:val="0"/>
        <w:widowControl w:val="0"/>
        <w:kinsoku/>
        <w:wordWrap/>
        <w:overflowPunct/>
        <w:topLinePunct w:val="0"/>
        <w:autoSpaceDE/>
        <w:autoSpaceDN/>
        <w:bidi w:val="0"/>
        <w:adjustRightInd/>
        <w:snapToGrid/>
        <w:spacing w:afterLines="0" w:line="560" w:lineRule="exact"/>
        <w:ind w:right="0" w:firstLine="640" w:firstLineChars="200"/>
        <w:jc w:val="left"/>
        <w:textAlignment w:val="auto"/>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2</w:t>
      </w:r>
      <w:r>
        <w:rPr>
          <w:rFonts w:hint="eastAsia" w:ascii="Times New Roman" w:hAnsi="Times New Roman" w:eastAsia="仿宋_GB2312" w:cs="Times New Roman"/>
          <w:sz w:val="32"/>
          <w:szCs w:val="32"/>
          <w:lang w:val="en-US" w:eastAsia="zh-CN"/>
        </w:rPr>
        <w:t xml:space="preserve">026年1月18日  </w:t>
      </w:r>
      <w:r>
        <w:rPr>
          <w:rFonts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afterLines="0" w:line="560" w:lineRule="exact"/>
        <w:ind w:right="0" w:rightChars="0"/>
        <w:jc w:val="left"/>
        <w:textAlignment w:val="auto"/>
        <w:rPr>
          <w:rFonts w:hint="eastAsia" w:ascii="仿宋_GB2312" w:eastAsia="仿宋_GB2312"/>
          <w:color w:val="auto"/>
          <w:sz w:val="32"/>
          <w:szCs w:val="32"/>
          <w:lang w:val="en-US" w:eastAsia="zh-CN" w:bidi="ar"/>
        </w:rPr>
      </w:pPr>
      <w:r>
        <w:rPr>
          <w:rFonts w:hint="eastAsia" w:ascii="仿宋_GB2312" w:eastAsia="仿宋_GB2312"/>
          <w:color w:val="auto"/>
          <w:sz w:val="32"/>
          <w:szCs w:val="32"/>
          <w:lang w:val="en-US" w:eastAsia="zh-CN" w:bidi="ar"/>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5"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DD"/>
    <w:rsid w:val="000016A5"/>
    <w:rsid w:val="00044A06"/>
    <w:rsid w:val="00072A27"/>
    <w:rsid w:val="000877A3"/>
    <w:rsid w:val="00105A1D"/>
    <w:rsid w:val="00145760"/>
    <w:rsid w:val="00152B28"/>
    <w:rsid w:val="001530CE"/>
    <w:rsid w:val="00162151"/>
    <w:rsid w:val="0017324F"/>
    <w:rsid w:val="00184647"/>
    <w:rsid w:val="0019345B"/>
    <w:rsid w:val="001A2DFF"/>
    <w:rsid w:val="00233F90"/>
    <w:rsid w:val="002350E7"/>
    <w:rsid w:val="00264722"/>
    <w:rsid w:val="002B3835"/>
    <w:rsid w:val="002B5F48"/>
    <w:rsid w:val="002E3F11"/>
    <w:rsid w:val="002E51AC"/>
    <w:rsid w:val="003408E6"/>
    <w:rsid w:val="00344EEC"/>
    <w:rsid w:val="00364D7E"/>
    <w:rsid w:val="00373063"/>
    <w:rsid w:val="00390B25"/>
    <w:rsid w:val="00396987"/>
    <w:rsid w:val="003A194B"/>
    <w:rsid w:val="003B130C"/>
    <w:rsid w:val="003D7311"/>
    <w:rsid w:val="003F03BD"/>
    <w:rsid w:val="003F23EA"/>
    <w:rsid w:val="003F6088"/>
    <w:rsid w:val="0040288A"/>
    <w:rsid w:val="0041300B"/>
    <w:rsid w:val="004261BC"/>
    <w:rsid w:val="00431A93"/>
    <w:rsid w:val="00435397"/>
    <w:rsid w:val="0048147A"/>
    <w:rsid w:val="00491C84"/>
    <w:rsid w:val="004B29A0"/>
    <w:rsid w:val="004C2131"/>
    <w:rsid w:val="004F5E7F"/>
    <w:rsid w:val="00530467"/>
    <w:rsid w:val="00532C62"/>
    <w:rsid w:val="00552988"/>
    <w:rsid w:val="005617B2"/>
    <w:rsid w:val="0058333E"/>
    <w:rsid w:val="0059096F"/>
    <w:rsid w:val="005A53AA"/>
    <w:rsid w:val="005E2453"/>
    <w:rsid w:val="0064267D"/>
    <w:rsid w:val="0065377F"/>
    <w:rsid w:val="006559F4"/>
    <w:rsid w:val="00662E59"/>
    <w:rsid w:val="00665DAD"/>
    <w:rsid w:val="0068633B"/>
    <w:rsid w:val="006E3279"/>
    <w:rsid w:val="006E3FAB"/>
    <w:rsid w:val="006E5A31"/>
    <w:rsid w:val="006F0447"/>
    <w:rsid w:val="00736791"/>
    <w:rsid w:val="00745C30"/>
    <w:rsid w:val="00764E03"/>
    <w:rsid w:val="007826E3"/>
    <w:rsid w:val="007B7718"/>
    <w:rsid w:val="007C0AA3"/>
    <w:rsid w:val="007F5CD7"/>
    <w:rsid w:val="008026E8"/>
    <w:rsid w:val="0080711E"/>
    <w:rsid w:val="0083663E"/>
    <w:rsid w:val="008527C8"/>
    <w:rsid w:val="00863B91"/>
    <w:rsid w:val="00893A51"/>
    <w:rsid w:val="00894254"/>
    <w:rsid w:val="008A1D74"/>
    <w:rsid w:val="008A306C"/>
    <w:rsid w:val="008B3B5F"/>
    <w:rsid w:val="008F44FC"/>
    <w:rsid w:val="009072C1"/>
    <w:rsid w:val="00941F36"/>
    <w:rsid w:val="00957AC1"/>
    <w:rsid w:val="00963EDA"/>
    <w:rsid w:val="00987B8E"/>
    <w:rsid w:val="0099260A"/>
    <w:rsid w:val="009E3AAF"/>
    <w:rsid w:val="009E45EB"/>
    <w:rsid w:val="009F27F0"/>
    <w:rsid w:val="00A11F29"/>
    <w:rsid w:val="00A247F1"/>
    <w:rsid w:val="00A51F40"/>
    <w:rsid w:val="00A600E6"/>
    <w:rsid w:val="00AA1B59"/>
    <w:rsid w:val="00AA5BB4"/>
    <w:rsid w:val="00AC1C7F"/>
    <w:rsid w:val="00AD59F7"/>
    <w:rsid w:val="00B27C88"/>
    <w:rsid w:val="00B50168"/>
    <w:rsid w:val="00B667EB"/>
    <w:rsid w:val="00B74BF1"/>
    <w:rsid w:val="00B97290"/>
    <w:rsid w:val="00C01918"/>
    <w:rsid w:val="00C034D8"/>
    <w:rsid w:val="00C20EA9"/>
    <w:rsid w:val="00C34E98"/>
    <w:rsid w:val="00C47656"/>
    <w:rsid w:val="00C50284"/>
    <w:rsid w:val="00C63AF0"/>
    <w:rsid w:val="00C8589B"/>
    <w:rsid w:val="00CE5694"/>
    <w:rsid w:val="00CF0C74"/>
    <w:rsid w:val="00D007C0"/>
    <w:rsid w:val="00D662C4"/>
    <w:rsid w:val="00D75813"/>
    <w:rsid w:val="00D77E42"/>
    <w:rsid w:val="00D81800"/>
    <w:rsid w:val="00D87AB1"/>
    <w:rsid w:val="00DE032F"/>
    <w:rsid w:val="00DE6A0B"/>
    <w:rsid w:val="00E03C66"/>
    <w:rsid w:val="00E159AA"/>
    <w:rsid w:val="00E243DB"/>
    <w:rsid w:val="00E261DD"/>
    <w:rsid w:val="00E324CB"/>
    <w:rsid w:val="00E36B5A"/>
    <w:rsid w:val="00E40E11"/>
    <w:rsid w:val="00EB7D46"/>
    <w:rsid w:val="00EF4505"/>
    <w:rsid w:val="00EF6056"/>
    <w:rsid w:val="00F13C9F"/>
    <w:rsid w:val="00F33F51"/>
    <w:rsid w:val="00F43CB1"/>
    <w:rsid w:val="00F45D52"/>
    <w:rsid w:val="00F971B7"/>
    <w:rsid w:val="00FB3B57"/>
    <w:rsid w:val="00FE4007"/>
    <w:rsid w:val="0100296B"/>
    <w:rsid w:val="012378F3"/>
    <w:rsid w:val="01F62142"/>
    <w:rsid w:val="02596A7A"/>
    <w:rsid w:val="03FA029D"/>
    <w:rsid w:val="04233CC2"/>
    <w:rsid w:val="045647A9"/>
    <w:rsid w:val="07205EF4"/>
    <w:rsid w:val="07837045"/>
    <w:rsid w:val="08C330EF"/>
    <w:rsid w:val="08E41DD9"/>
    <w:rsid w:val="0A213CF4"/>
    <w:rsid w:val="0C1E7254"/>
    <w:rsid w:val="0C2B1E54"/>
    <w:rsid w:val="0D6E6B91"/>
    <w:rsid w:val="0DF30E99"/>
    <w:rsid w:val="0E8E25B2"/>
    <w:rsid w:val="0F5947AB"/>
    <w:rsid w:val="0F76635B"/>
    <w:rsid w:val="0FE8368D"/>
    <w:rsid w:val="102070E3"/>
    <w:rsid w:val="10291344"/>
    <w:rsid w:val="113C0629"/>
    <w:rsid w:val="11A110D7"/>
    <w:rsid w:val="11DE7C8D"/>
    <w:rsid w:val="11F914C7"/>
    <w:rsid w:val="12B94041"/>
    <w:rsid w:val="12FC6336"/>
    <w:rsid w:val="144611D2"/>
    <w:rsid w:val="146D2C0E"/>
    <w:rsid w:val="14FF0009"/>
    <w:rsid w:val="15B07880"/>
    <w:rsid w:val="165962C7"/>
    <w:rsid w:val="1AA171CF"/>
    <w:rsid w:val="1BE61C24"/>
    <w:rsid w:val="1C5C6A52"/>
    <w:rsid w:val="1D4E55A7"/>
    <w:rsid w:val="1F3D3B25"/>
    <w:rsid w:val="1F70273E"/>
    <w:rsid w:val="1FAB7D05"/>
    <w:rsid w:val="1FB31A19"/>
    <w:rsid w:val="1FF10FAF"/>
    <w:rsid w:val="217E3B23"/>
    <w:rsid w:val="2430046E"/>
    <w:rsid w:val="24A835B0"/>
    <w:rsid w:val="24AB0D0E"/>
    <w:rsid w:val="24EB0210"/>
    <w:rsid w:val="25A35C20"/>
    <w:rsid w:val="26A2658A"/>
    <w:rsid w:val="276B6809"/>
    <w:rsid w:val="2833087B"/>
    <w:rsid w:val="284F132C"/>
    <w:rsid w:val="28510B7B"/>
    <w:rsid w:val="29AA01EA"/>
    <w:rsid w:val="2AB3056F"/>
    <w:rsid w:val="2BDE4907"/>
    <w:rsid w:val="2C033842"/>
    <w:rsid w:val="2C80155B"/>
    <w:rsid w:val="2CC52C95"/>
    <w:rsid w:val="2D924103"/>
    <w:rsid w:val="2ED926F0"/>
    <w:rsid w:val="2FA627AB"/>
    <w:rsid w:val="2FF87D20"/>
    <w:rsid w:val="30116675"/>
    <w:rsid w:val="31522DDB"/>
    <w:rsid w:val="31666628"/>
    <w:rsid w:val="31F92D57"/>
    <w:rsid w:val="32797FDE"/>
    <w:rsid w:val="32AB22F3"/>
    <w:rsid w:val="34936269"/>
    <w:rsid w:val="354C4913"/>
    <w:rsid w:val="36044407"/>
    <w:rsid w:val="365844C1"/>
    <w:rsid w:val="36F1352C"/>
    <w:rsid w:val="38091CFA"/>
    <w:rsid w:val="392A7A57"/>
    <w:rsid w:val="3C9B5CF4"/>
    <w:rsid w:val="3DBE75AD"/>
    <w:rsid w:val="3EE5713F"/>
    <w:rsid w:val="3F620E8B"/>
    <w:rsid w:val="3F8760CE"/>
    <w:rsid w:val="40A2754D"/>
    <w:rsid w:val="41402E36"/>
    <w:rsid w:val="41421E26"/>
    <w:rsid w:val="41547109"/>
    <w:rsid w:val="42BC0C0E"/>
    <w:rsid w:val="440E60AD"/>
    <w:rsid w:val="44340F31"/>
    <w:rsid w:val="44352D26"/>
    <w:rsid w:val="455F06F9"/>
    <w:rsid w:val="45834899"/>
    <w:rsid w:val="47E21C48"/>
    <w:rsid w:val="47E23AC2"/>
    <w:rsid w:val="47FD752B"/>
    <w:rsid w:val="48791E38"/>
    <w:rsid w:val="4BFF5B3B"/>
    <w:rsid w:val="4C26756B"/>
    <w:rsid w:val="4CBD0D73"/>
    <w:rsid w:val="4D42685E"/>
    <w:rsid w:val="4DC36FD1"/>
    <w:rsid w:val="4DD076C8"/>
    <w:rsid w:val="4E2528C4"/>
    <w:rsid w:val="4E695FA3"/>
    <w:rsid w:val="4EBF6FC0"/>
    <w:rsid w:val="4F8265F7"/>
    <w:rsid w:val="50042FFA"/>
    <w:rsid w:val="501E0480"/>
    <w:rsid w:val="50735834"/>
    <w:rsid w:val="520B0B3E"/>
    <w:rsid w:val="524F3C18"/>
    <w:rsid w:val="530449C0"/>
    <w:rsid w:val="53B60E28"/>
    <w:rsid w:val="53EC208E"/>
    <w:rsid w:val="53FF6855"/>
    <w:rsid w:val="54314B12"/>
    <w:rsid w:val="54514662"/>
    <w:rsid w:val="559641F1"/>
    <w:rsid w:val="560B7CD8"/>
    <w:rsid w:val="57613B4A"/>
    <w:rsid w:val="58BF5252"/>
    <w:rsid w:val="59917D21"/>
    <w:rsid w:val="59B5693F"/>
    <w:rsid w:val="59CF34EA"/>
    <w:rsid w:val="5AA62E48"/>
    <w:rsid w:val="5AEC2D3D"/>
    <w:rsid w:val="5AF73B4C"/>
    <w:rsid w:val="5CB22757"/>
    <w:rsid w:val="5D6E4AE7"/>
    <w:rsid w:val="5DBA126D"/>
    <w:rsid w:val="5E5E3632"/>
    <w:rsid w:val="5E922188"/>
    <w:rsid w:val="5EE43312"/>
    <w:rsid w:val="5FFE51D9"/>
    <w:rsid w:val="606E246D"/>
    <w:rsid w:val="61B33ECC"/>
    <w:rsid w:val="63161F14"/>
    <w:rsid w:val="63864433"/>
    <w:rsid w:val="63BC2837"/>
    <w:rsid w:val="64BF7142"/>
    <w:rsid w:val="65000502"/>
    <w:rsid w:val="65305110"/>
    <w:rsid w:val="65BE3545"/>
    <w:rsid w:val="663F30CF"/>
    <w:rsid w:val="66B1300C"/>
    <w:rsid w:val="66F8220B"/>
    <w:rsid w:val="69032D46"/>
    <w:rsid w:val="696403F8"/>
    <w:rsid w:val="6A643049"/>
    <w:rsid w:val="6A875D92"/>
    <w:rsid w:val="6A9B4E31"/>
    <w:rsid w:val="6B0A05C0"/>
    <w:rsid w:val="6DF8446C"/>
    <w:rsid w:val="6F2B261F"/>
    <w:rsid w:val="6F3F6E70"/>
    <w:rsid w:val="72492390"/>
    <w:rsid w:val="7284592F"/>
    <w:rsid w:val="730A485F"/>
    <w:rsid w:val="730E55D1"/>
    <w:rsid w:val="744A79EB"/>
    <w:rsid w:val="744F471E"/>
    <w:rsid w:val="75630D65"/>
    <w:rsid w:val="75B63B9D"/>
    <w:rsid w:val="75D532E5"/>
    <w:rsid w:val="762B1026"/>
    <w:rsid w:val="7716256B"/>
    <w:rsid w:val="7784036A"/>
    <w:rsid w:val="77CE3B06"/>
    <w:rsid w:val="781626AC"/>
    <w:rsid w:val="78D404AE"/>
    <w:rsid w:val="78D420AA"/>
    <w:rsid w:val="79B600AA"/>
    <w:rsid w:val="7B0F49A8"/>
    <w:rsid w:val="7E2529F7"/>
    <w:rsid w:val="7EA01CB2"/>
    <w:rsid w:val="7F8C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imes New Roman" w:hAnsi="Times New Roman" w:eastAsia="仿宋_GB2312"/>
      <w:sz w:val="32"/>
    </w:rPr>
  </w:style>
  <w:style w:type="paragraph" w:styleId="3">
    <w:name w:val="toc 2"/>
    <w:basedOn w:val="1"/>
    <w:next w:val="1"/>
    <w:qFormat/>
    <w:uiPriority w:val="0"/>
    <w:pPr>
      <w:ind w:left="420" w:leftChars="200"/>
    </w:pPr>
    <w:rPr>
      <w:rFonts w:ascii="Times New Roman" w:hAnsi="Times New Roman" w:eastAsia="宋体" w:cs="Times New Roman"/>
      <w:sz w:val="32"/>
    </w:rPr>
  </w:style>
  <w:style w:type="paragraph" w:styleId="5">
    <w:name w:val="Normal Indent"/>
    <w:basedOn w:val="1"/>
    <w:qFormat/>
    <w:uiPriority w:val="0"/>
    <w:pPr>
      <w:ind w:firstLine="420" w:firstLine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9">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libri Light" w:hAnsi="Calibri Light"/>
      <w:b/>
      <w:bCs/>
      <w:sz w:val="32"/>
      <w:szCs w:val="32"/>
    </w:rPr>
  </w:style>
  <w:style w:type="character" w:styleId="13">
    <w:name w:val="Strong"/>
    <w:basedOn w:val="12"/>
    <w:qFormat/>
    <w:uiPriority w:val="22"/>
    <w:rPr>
      <w:rFonts w:ascii="Times New Roman" w:hAnsi="Times New Roman" w:eastAsia="宋体" w:cs="Times New Roman"/>
      <w:b/>
    </w:rPr>
  </w:style>
  <w:style w:type="character" w:customStyle="1" w:styleId="14">
    <w:name w:val="页脚 Char"/>
    <w:basedOn w:val="12"/>
    <w:link w:val="6"/>
    <w:qFormat/>
    <w:uiPriority w:val="99"/>
    <w:rPr>
      <w:rFonts w:ascii="Times New Roman" w:hAnsi="Times New Roman" w:eastAsia="宋体" w:cs="Times New Roman"/>
      <w:sz w:val="18"/>
      <w:szCs w:val="18"/>
    </w:rPr>
  </w:style>
  <w:style w:type="character" w:customStyle="1" w:styleId="15">
    <w:name w:val="页眉 Char"/>
    <w:basedOn w:val="12"/>
    <w:link w:val="7"/>
    <w:semiHidden/>
    <w:qFormat/>
    <w:uiPriority w:val="99"/>
    <w:rPr>
      <w:rFonts w:ascii="Times New Roman" w:hAnsi="Times New Roman" w:eastAsia="宋体" w:cs="Times New Roman"/>
      <w:sz w:val="18"/>
      <w:szCs w:val="18"/>
    </w:rPr>
  </w:style>
  <w:style w:type="paragraph" w:customStyle="1" w:styleId="16">
    <w:name w:val="NormalNormal"/>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2026-01-27T08:01:00Z</dcterms:created>
  <dc:creator>admin</dc:creator>
  <cp:lastModifiedBy>Administrator</cp:lastModifiedBy>
  <dcterms:modified xsi:type="dcterms:W3CDTF">2026-01-29T07:49:32Z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4C552362A288476EA0D1DFFB736FAC8D</vt:lpwstr>
  </property>
</Properties>
</file>