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关于对</w:t>
      </w:r>
      <w:r>
        <w:rPr>
          <w:rFonts w:hint="eastAsia" w:ascii="Times New Roman" w:hAnsi="Times New Roman" w:eastAsia="方正小标宋简体" w:cs="Times New Roman"/>
          <w:sz w:val="44"/>
          <w:szCs w:val="44"/>
          <w:lang w:val="en-US" w:eastAsia="zh-CN"/>
        </w:rPr>
        <w:t>柳州市</w:t>
      </w:r>
      <w:r>
        <w:rPr>
          <w:rFonts w:hint="default" w:ascii="Times New Roman" w:hAnsi="Times New Roman" w:eastAsia="方正小标宋简体" w:cs="Times New Roman"/>
          <w:sz w:val="44"/>
          <w:szCs w:val="44"/>
        </w:rPr>
        <w:t>第</w:t>
      </w:r>
      <w:r>
        <w:rPr>
          <w:rFonts w:hint="eastAsia" w:ascii="Times New Roman" w:hAnsi="Times New Roman" w:eastAsia="方正小标宋简体" w:cs="Times New Roman"/>
          <w:sz w:val="44"/>
          <w:szCs w:val="44"/>
          <w:lang w:val="en-US" w:eastAsia="zh-CN"/>
        </w:rPr>
        <w:t>十五届</w:t>
      </w:r>
      <w:r>
        <w:rPr>
          <w:rFonts w:hint="default" w:ascii="Times New Roman" w:hAnsi="Times New Roman" w:eastAsia="方正小标宋简体" w:cs="Times New Roman"/>
          <w:sz w:val="44"/>
          <w:szCs w:val="44"/>
        </w:rPr>
        <w:t>人民代表大会第</w:t>
      </w:r>
      <w:r>
        <w:rPr>
          <w:rFonts w:hint="eastAsia" w:ascii="Times New Roman" w:hAnsi="Times New Roman" w:eastAsia="方正小标宋简体" w:cs="Times New Roman"/>
          <w:sz w:val="44"/>
          <w:szCs w:val="44"/>
          <w:lang w:val="en-US" w:eastAsia="zh-CN"/>
        </w:rPr>
        <w:t>八次</w:t>
      </w:r>
    </w:p>
    <w:p>
      <w:pPr>
        <w:keepNext w:val="0"/>
        <w:keepLines w:val="0"/>
        <w:pageBreakBefore w:val="0"/>
        <w:widowControl w:val="0"/>
        <w:kinsoku/>
        <w:wordWrap/>
        <w:overflowPunct/>
        <w:topLinePunct w:val="0"/>
        <w:autoSpaceDE/>
        <w:autoSpaceDN/>
        <w:bidi w:val="0"/>
        <w:spacing w:line="560" w:lineRule="exact"/>
        <w:jc w:val="center"/>
        <w:textAlignment w:val="auto"/>
        <w:rPr>
          <w:rFonts w:hint="default" w:ascii="Times New Roman" w:hAnsi="Times New Roman" w:cs="Times New Roman"/>
          <w:b/>
          <w:bCs/>
          <w:color w:val="000000"/>
          <w:kern w:val="0"/>
          <w:sz w:val="30"/>
        </w:rPr>
      </w:pPr>
      <w:r>
        <w:rPr>
          <w:rFonts w:hint="default" w:ascii="Times New Roman" w:hAnsi="Times New Roman" w:eastAsia="方正小标宋简体" w:cs="Times New Roman"/>
          <w:sz w:val="44"/>
          <w:szCs w:val="44"/>
        </w:rPr>
        <w:t>会议</w:t>
      </w:r>
      <w:r>
        <w:rPr>
          <w:rFonts w:hint="default" w:ascii="Times New Roman" w:hAnsi="Times New Roman" w:eastAsia="方正小标宋简体" w:cs="Times New Roman"/>
          <w:color w:val="auto"/>
          <w:spacing w:val="-6"/>
          <w:sz w:val="44"/>
          <w:szCs w:val="44"/>
          <w:lang w:eastAsia="zh-CN"/>
        </w:rPr>
        <w:t>第</w:t>
      </w:r>
      <w:r>
        <w:rPr>
          <w:rFonts w:hint="eastAsia" w:eastAsia="方正小标宋简体" w:cs="Times New Roman"/>
          <w:color w:val="auto"/>
          <w:spacing w:val="-6"/>
          <w:sz w:val="44"/>
          <w:szCs w:val="44"/>
          <w:lang w:val="en-US" w:eastAsia="zh-CN"/>
        </w:rPr>
        <w:t>54</w:t>
      </w:r>
      <w:r>
        <w:rPr>
          <w:rFonts w:hint="default" w:ascii="Times New Roman" w:hAnsi="Times New Roman" w:eastAsia="方正小标宋简体" w:cs="Times New Roman"/>
          <w:color w:val="auto"/>
          <w:spacing w:val="-6"/>
          <w:sz w:val="44"/>
          <w:szCs w:val="44"/>
          <w:lang w:eastAsia="zh-CN"/>
        </w:rPr>
        <w:t>号</w:t>
      </w:r>
      <w:r>
        <w:rPr>
          <w:rFonts w:hint="eastAsia" w:eastAsia="方正小标宋简体"/>
          <w:sz w:val="44"/>
          <w:szCs w:val="44"/>
          <w:lang w:eastAsia="zh-CN"/>
        </w:rPr>
        <w:t>代表</w:t>
      </w:r>
      <w:r>
        <w:rPr>
          <w:rFonts w:hint="eastAsia" w:eastAsia="方正小标宋简体"/>
          <w:sz w:val="44"/>
          <w:szCs w:val="44"/>
        </w:rPr>
        <w:t>建议</w:t>
      </w:r>
      <w:r>
        <w:rPr>
          <w:rFonts w:hint="default" w:ascii="Times New Roman" w:hAnsi="Times New Roman" w:eastAsia="方正小标宋简体" w:cs="Times New Roman"/>
          <w:sz w:val="44"/>
          <w:szCs w:val="44"/>
        </w:rPr>
        <w:t>的办理情况</w:t>
      </w:r>
    </w:p>
    <w:p>
      <w:pPr>
        <w:keepNext w:val="0"/>
        <w:keepLines w:val="0"/>
        <w:pageBreakBefore w:val="0"/>
        <w:widowControl w:val="0"/>
        <w:kinsoku/>
        <w:wordWrap/>
        <w:overflowPunct/>
        <w:topLinePunct w:val="0"/>
        <w:autoSpaceDE/>
        <w:autoSpaceDN/>
        <w:bidi w:val="0"/>
        <w:adjustRightInd/>
        <w:spacing w:beforeAutospacing="0" w:afterAutospacing="0" w:line="560" w:lineRule="exact"/>
        <w:textAlignment w:val="auto"/>
        <w:rPr>
          <w:rFonts w:hint="eastAsia" w:eastAsia="仿宋_GB2312" w:cs="Times New Roman"/>
          <w:b/>
          <w:bCs/>
          <w:color w:val="000000"/>
          <w:kern w:val="0"/>
          <w:sz w:val="32"/>
          <w:szCs w:val="32"/>
          <w:lang w:eastAsia="zh-CN"/>
        </w:rPr>
      </w:pPr>
    </w:p>
    <w:p>
      <w:pPr>
        <w:keepNext w:val="0"/>
        <w:keepLines w:val="0"/>
        <w:pageBreakBefore w:val="0"/>
        <w:widowControl w:val="0"/>
        <w:kinsoku/>
        <w:wordWrap/>
        <w:overflowPunct/>
        <w:topLinePunct w:val="0"/>
        <w:autoSpaceDE/>
        <w:autoSpaceDN/>
        <w:bidi w:val="0"/>
        <w:adjustRightInd/>
        <w:spacing w:beforeAutospacing="0" w:afterAutospacing="0" w:line="560" w:lineRule="exact"/>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bCs/>
          <w:color w:val="000000"/>
          <w:kern w:val="0"/>
          <w:sz w:val="32"/>
          <w:szCs w:val="32"/>
          <w:lang w:eastAsia="zh-CN"/>
        </w:rPr>
        <w:t>提案</w:t>
      </w:r>
      <w:r>
        <w:rPr>
          <w:rFonts w:hint="default" w:ascii="Times New Roman" w:hAnsi="Times New Roman" w:eastAsia="仿宋_GB2312" w:cs="Times New Roman"/>
          <w:b/>
          <w:bCs/>
          <w:color w:val="000000"/>
          <w:kern w:val="0"/>
          <w:sz w:val="32"/>
          <w:szCs w:val="32"/>
        </w:rPr>
        <w:t>内容：</w:t>
      </w:r>
      <w:r>
        <w:rPr>
          <w:rFonts w:hint="eastAsia" w:ascii="仿宋_GB2312" w:hAnsi="仿宋_GB2312" w:eastAsia="仿宋_GB2312" w:cs="仿宋_GB2312"/>
          <w:b w:val="0"/>
          <w:bCs w:val="0"/>
          <w:snapToGrid w:val="0"/>
          <w:color w:val="auto"/>
          <w:spacing w:val="3"/>
          <w:kern w:val="0"/>
          <w:sz w:val="32"/>
          <w:szCs w:val="32"/>
          <w:lang w:val="en-US" w:eastAsia="en-US" w:bidi="ar-SA"/>
        </w:rPr>
        <w:t>关于加强电动自行车交通安全管理的建议</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60" w:lineRule="exact"/>
        <w:ind w:firstLine="640" w:firstLineChars="200"/>
        <w:jc w:val="both"/>
        <w:textAlignment w:val="baseline"/>
        <w:rPr>
          <w:sz w:val="32"/>
          <w:szCs w:val="32"/>
        </w:rPr>
      </w:pPr>
      <w:r>
        <w:rPr>
          <w:rFonts w:ascii="黑体" w:hAnsi="黑体" w:eastAsia="黑体"/>
          <w:sz w:val="32"/>
          <w:szCs w:val="32"/>
        </w:rPr>
        <w:t>一、基本情况</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52" w:firstLineChars="200"/>
        <w:textAlignment w:val="auto"/>
        <w:rPr>
          <w:rFonts w:hint="eastAsia" w:ascii="仿宋_GB2312" w:hAnsi="仿宋_GB2312" w:eastAsia="仿宋_GB2312" w:cs="仿宋_GB2312"/>
          <w:b w:val="0"/>
          <w:bCs w:val="0"/>
          <w:snapToGrid w:val="0"/>
          <w:color w:val="auto"/>
          <w:spacing w:val="3"/>
          <w:kern w:val="0"/>
          <w:sz w:val="32"/>
          <w:szCs w:val="32"/>
          <w:lang w:val="en-US" w:eastAsia="en-US" w:bidi="ar-SA"/>
        </w:rPr>
      </w:pPr>
      <w:r>
        <w:rPr>
          <w:rFonts w:hint="eastAsia" w:ascii="仿宋_GB2312" w:hAnsi="仿宋_GB2312" w:eastAsia="仿宋_GB2312" w:cs="仿宋_GB2312"/>
          <w:b w:val="0"/>
          <w:bCs w:val="0"/>
          <w:snapToGrid w:val="0"/>
          <w:color w:val="auto"/>
          <w:spacing w:val="3"/>
          <w:kern w:val="0"/>
          <w:sz w:val="32"/>
          <w:szCs w:val="32"/>
          <w:lang w:val="en-US" w:eastAsia="en-US" w:bidi="ar-SA"/>
        </w:rPr>
        <w:t>我市机动车保有量、电动自行车保有量持续增加，电动自行车以其灵活、便捷的特点，大量穿行于机动车车流和人流中。当前，因电动车驾驶人闯红灯、未按规定车道行驶、逆向行驶、边看手机边驾车、超过国家强制性标准时速行驶等行为引起的电动车与机动车、行人碰撞事故屡见不鲜，因此，进一步加强电动自行车交通安全管理，消除道路安全隐患、全力预防和减少道路交通事故势在必行。</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60" w:lineRule="exact"/>
        <w:ind w:firstLine="640"/>
        <w:jc w:val="both"/>
        <w:textAlignment w:val="baseline"/>
        <w:rPr>
          <w:rFonts w:ascii="黑体" w:hAnsi="黑体" w:eastAsia="黑体"/>
          <w:sz w:val="32"/>
        </w:rPr>
      </w:pPr>
      <w:r>
        <w:rPr>
          <w:rFonts w:ascii="黑体" w:hAnsi="黑体" w:eastAsia="黑体"/>
          <w:sz w:val="32"/>
        </w:rPr>
        <w:t>二、存在问题及原因分析</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52" w:firstLineChars="200"/>
        <w:textAlignment w:val="auto"/>
        <w:rPr>
          <w:rFonts w:hint="default" w:ascii="Times New Roman" w:hAnsi="Times New Roman" w:eastAsia="仿宋_GB2312" w:cs="Times New Roman"/>
          <w:b w:val="0"/>
          <w:bCs w:val="0"/>
          <w:snapToGrid w:val="0"/>
          <w:color w:val="auto"/>
          <w:spacing w:val="3"/>
          <w:kern w:val="0"/>
          <w:sz w:val="32"/>
          <w:szCs w:val="32"/>
          <w:lang w:val="en-US" w:eastAsia="en-US" w:bidi="ar-SA"/>
        </w:rPr>
      </w:pPr>
      <w:r>
        <w:rPr>
          <w:rFonts w:hint="default" w:ascii="Times New Roman" w:hAnsi="Times New Roman" w:eastAsia="仿宋_GB2312" w:cs="Times New Roman"/>
          <w:b w:val="0"/>
          <w:bCs w:val="0"/>
          <w:snapToGrid w:val="0"/>
          <w:color w:val="auto"/>
          <w:spacing w:val="3"/>
          <w:kern w:val="0"/>
          <w:sz w:val="32"/>
          <w:szCs w:val="32"/>
          <w:lang w:val="en-US" w:eastAsia="en-US" w:bidi="ar-SA"/>
        </w:rPr>
        <w:t>1.源头管控存在漏洞。部分生产、销售、维修环节受利益驱动，违规生产、销售非法改装车辆，或提供非法改装服务（如解除限速装置、加大电池、增设车座等），致使最高时速超过强制性国家标准（25km/h）等一批不符合国家强制性标准的电动自行车流入销售和使用环节。</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52" w:firstLineChars="200"/>
        <w:textAlignment w:val="auto"/>
        <w:rPr>
          <w:rFonts w:hint="default" w:ascii="Times New Roman" w:hAnsi="Times New Roman" w:eastAsia="仿宋_GB2312" w:cs="Times New Roman"/>
          <w:b w:val="0"/>
          <w:bCs w:val="0"/>
          <w:snapToGrid w:val="0"/>
          <w:color w:val="auto"/>
          <w:spacing w:val="3"/>
          <w:kern w:val="0"/>
          <w:sz w:val="32"/>
          <w:szCs w:val="32"/>
          <w:lang w:val="en-US" w:eastAsia="en-US" w:bidi="ar-SA"/>
        </w:rPr>
      </w:pPr>
      <w:r>
        <w:rPr>
          <w:rFonts w:hint="default" w:ascii="Times New Roman" w:hAnsi="Times New Roman" w:eastAsia="仿宋_GB2312" w:cs="Times New Roman"/>
          <w:b w:val="0"/>
          <w:bCs w:val="0"/>
          <w:snapToGrid w:val="0"/>
          <w:color w:val="auto"/>
          <w:spacing w:val="3"/>
          <w:kern w:val="0"/>
          <w:sz w:val="32"/>
          <w:szCs w:val="32"/>
          <w:lang w:val="en-US" w:eastAsia="en-US" w:bidi="ar-SA"/>
        </w:rPr>
        <w:t>2.部分电动自行车驾驶人法律意识和交通安全意识淡薄。一是对电动自行车驾驶资质无专门规定，驾驶人缺乏系统的交通安全教育和驾驶技能培训，对车辆性能、道路风险认知不足。二是部分驾驶人将道路通行的便捷性凌驾于安全性之上，并且对个人的驾驶技巧、反应能力、路况盲目自信，对交通法律法规缺乏敬畏，“法不责众”“不见警就不守法”的侥幸心态比较普遍，成为引起交通事故的隐患群体。</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52" w:firstLineChars="200"/>
        <w:textAlignment w:val="auto"/>
        <w:rPr>
          <w:rFonts w:hint="default" w:ascii="Times New Roman" w:hAnsi="Times New Roman" w:eastAsia="仿宋_GB2312" w:cs="Times New Roman"/>
          <w:b w:val="0"/>
          <w:bCs w:val="0"/>
          <w:snapToGrid w:val="0"/>
          <w:color w:val="auto"/>
          <w:spacing w:val="3"/>
          <w:kern w:val="0"/>
          <w:sz w:val="32"/>
          <w:szCs w:val="32"/>
          <w:lang w:val="en-US" w:eastAsia="en-US" w:bidi="ar-SA"/>
        </w:rPr>
      </w:pPr>
      <w:r>
        <w:rPr>
          <w:rFonts w:hint="default" w:ascii="Times New Roman" w:hAnsi="Times New Roman" w:eastAsia="仿宋_GB2312" w:cs="Times New Roman"/>
          <w:b w:val="0"/>
          <w:bCs w:val="0"/>
          <w:snapToGrid w:val="0"/>
          <w:color w:val="auto"/>
          <w:spacing w:val="3"/>
          <w:kern w:val="0"/>
          <w:sz w:val="32"/>
          <w:szCs w:val="32"/>
          <w:lang w:val="en-US" w:eastAsia="en-US" w:bidi="ar-SA"/>
        </w:rPr>
        <w:t>3.企业业绩管理与安全管理脱节。部分外卖、快递企业对配送业绩的管理过于追求时效，形成“多送快跑”的激励导向，间接促使骑手冒险违法交通法律法规。企业对从业人员的交通安全教育、日常行为监管、违法责任追究等机制不健全，安全投入不足。部分灵活就业模式也使得外卖、快递企业与骑手间的安全管理责任划分不清，制约了管理措施的落地。</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52" w:firstLineChars="200"/>
        <w:textAlignment w:val="auto"/>
        <w:rPr>
          <w:rFonts w:hint="default" w:ascii="Times New Roman" w:hAnsi="Times New Roman" w:eastAsia="仿宋_GB2312" w:cs="Times New Roman"/>
          <w:b w:val="0"/>
          <w:bCs w:val="0"/>
          <w:snapToGrid w:val="0"/>
          <w:color w:val="auto"/>
          <w:spacing w:val="3"/>
          <w:kern w:val="0"/>
          <w:sz w:val="32"/>
          <w:szCs w:val="32"/>
          <w:lang w:val="en-US" w:eastAsia="en-US" w:bidi="ar-SA"/>
        </w:rPr>
      </w:pPr>
      <w:r>
        <w:rPr>
          <w:rFonts w:hint="default" w:ascii="Times New Roman" w:hAnsi="Times New Roman" w:eastAsia="仿宋_GB2312" w:cs="Times New Roman"/>
          <w:b w:val="0"/>
          <w:bCs w:val="0"/>
          <w:snapToGrid w:val="0"/>
          <w:color w:val="auto"/>
          <w:spacing w:val="3"/>
          <w:kern w:val="0"/>
          <w:sz w:val="32"/>
          <w:szCs w:val="32"/>
          <w:lang w:val="en-US" w:eastAsia="en-US" w:bidi="ar-SA"/>
        </w:rPr>
        <w:t>4.社会共治氛围尚未形成。群众对电动自行车道路交通安全风险的认知不足，媒体宣传引导的深度和持续性不够，社会监督、举报激励机制不完善。</w:t>
      </w:r>
    </w:p>
    <w:p>
      <w:pPr>
        <w:keepNext w:val="0"/>
        <w:keepLines w:val="0"/>
        <w:pageBreakBefore w:val="0"/>
        <w:widowControl/>
        <w:kinsoku/>
        <w:wordWrap/>
        <w:overflowPunct/>
        <w:topLinePunct w:val="0"/>
        <w:autoSpaceDE w:val="0"/>
        <w:autoSpaceDN w:val="0"/>
        <w:bidi w:val="0"/>
        <w:adjustRightInd w:val="0"/>
        <w:snapToGrid w:val="0"/>
        <w:spacing w:beforeAutospacing="0" w:afterAutospacing="0" w:line="560" w:lineRule="exact"/>
        <w:ind w:firstLine="640"/>
        <w:jc w:val="both"/>
        <w:textAlignment w:val="baseline"/>
        <w:rPr>
          <w:sz w:val="24"/>
        </w:rPr>
      </w:pPr>
      <w:r>
        <w:rPr>
          <w:rFonts w:ascii="黑体" w:hAnsi="黑体" w:eastAsia="黑体"/>
          <w:sz w:val="32"/>
        </w:rPr>
        <w:t>三、建议</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52" w:firstLineChars="200"/>
        <w:textAlignment w:val="auto"/>
        <w:rPr>
          <w:rFonts w:hint="default" w:ascii="Times New Roman" w:hAnsi="Times New Roman" w:eastAsia="仿宋_GB2312" w:cs="Times New Roman"/>
          <w:b w:val="0"/>
          <w:bCs w:val="0"/>
          <w:snapToGrid w:val="0"/>
          <w:color w:val="auto"/>
          <w:spacing w:val="3"/>
          <w:kern w:val="0"/>
          <w:sz w:val="32"/>
          <w:szCs w:val="32"/>
          <w:lang w:val="en-US" w:eastAsia="en-US" w:bidi="ar-SA"/>
        </w:rPr>
      </w:pPr>
      <w:r>
        <w:rPr>
          <w:rFonts w:hint="default" w:ascii="Times New Roman" w:hAnsi="Times New Roman" w:eastAsia="仿宋_GB2312" w:cs="Times New Roman"/>
          <w:b w:val="0"/>
          <w:bCs w:val="0"/>
          <w:snapToGrid w:val="0"/>
          <w:color w:val="auto"/>
          <w:spacing w:val="3"/>
          <w:kern w:val="0"/>
          <w:sz w:val="32"/>
          <w:szCs w:val="32"/>
          <w:lang w:val="en-US" w:eastAsia="en-US" w:bidi="ar-SA"/>
        </w:rPr>
        <w:t>1.推动源头治理。全面检查电动自行车生产、销售、维修各环节，严厉打击非法改装行为，确保车辆符合国家强制性标准。严格登记上牌管理，规范登记流程，严把车辆查验、资料审核关口。</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52" w:firstLineChars="200"/>
        <w:textAlignment w:val="auto"/>
        <w:rPr>
          <w:rFonts w:hint="default" w:ascii="Times New Roman" w:hAnsi="Times New Roman" w:eastAsia="仿宋_GB2312" w:cs="Times New Roman"/>
          <w:b w:val="0"/>
          <w:bCs w:val="0"/>
          <w:snapToGrid w:val="0"/>
          <w:color w:val="auto"/>
          <w:spacing w:val="3"/>
          <w:kern w:val="0"/>
          <w:sz w:val="32"/>
          <w:szCs w:val="32"/>
          <w:lang w:val="en-US" w:eastAsia="en-US" w:bidi="ar-SA"/>
        </w:rPr>
      </w:pPr>
      <w:r>
        <w:rPr>
          <w:rFonts w:hint="default" w:ascii="Times New Roman" w:hAnsi="Times New Roman" w:eastAsia="仿宋_GB2312" w:cs="Times New Roman"/>
          <w:b w:val="0"/>
          <w:bCs w:val="0"/>
          <w:snapToGrid w:val="0"/>
          <w:color w:val="auto"/>
          <w:spacing w:val="3"/>
          <w:kern w:val="0"/>
          <w:sz w:val="32"/>
          <w:szCs w:val="32"/>
          <w:lang w:val="en-US" w:eastAsia="en-US" w:bidi="ar-SA"/>
        </w:rPr>
        <w:t>2.强化道路交通安全执法和依法劝导。强化现场执法，加大路面执法劝导力度，优化警力部署，提高路面见警率，对违法行为做到“发现一起、处理一起”。强化非现场执法，充分运用违法抓拍系统，提升对电动自行车违法行为的取证执法能力。强化依法劝导，对轻微违法人员采取现场警示教育、观看案例视频、签署承诺书等多样化教育方式，实现违法教育良好效果。</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52" w:firstLineChars="200"/>
        <w:textAlignment w:val="auto"/>
        <w:rPr>
          <w:rFonts w:hint="default" w:ascii="Times New Roman" w:hAnsi="Times New Roman" w:eastAsia="仿宋_GB2312" w:cs="Times New Roman"/>
          <w:b w:val="0"/>
          <w:bCs w:val="0"/>
          <w:snapToGrid w:val="0"/>
          <w:color w:val="auto"/>
          <w:spacing w:val="3"/>
          <w:kern w:val="0"/>
          <w:sz w:val="32"/>
          <w:szCs w:val="32"/>
          <w:lang w:val="en-US" w:eastAsia="en-US" w:bidi="ar-SA"/>
        </w:rPr>
      </w:pPr>
      <w:r>
        <w:rPr>
          <w:rFonts w:hint="default" w:ascii="Times New Roman" w:hAnsi="Times New Roman" w:eastAsia="仿宋_GB2312" w:cs="Times New Roman"/>
          <w:b w:val="0"/>
          <w:bCs w:val="0"/>
          <w:snapToGrid w:val="0"/>
          <w:color w:val="auto"/>
          <w:spacing w:val="3"/>
          <w:kern w:val="0"/>
          <w:sz w:val="32"/>
          <w:szCs w:val="32"/>
          <w:lang w:val="en-US" w:eastAsia="en-US" w:bidi="ar-SA"/>
        </w:rPr>
        <w:t>3.建立联合惩戒机制。对外卖、快递从业人员日常工作中存在的交通违法行为，通报外卖、快递企业。督促外卖、快递企业落实安全主体责任，持续加强外卖、快递从业人员的交通安全教育，建立外卖、快递从业人员交通违法与平台接单限制的联动惩戒机制，营造安全有序的道路交通环境。</w:t>
      </w:r>
    </w:p>
    <w:p>
      <w:pPr>
        <w:keepNext w:val="0"/>
        <w:keepLines w:val="0"/>
        <w:pageBreakBefore w:val="0"/>
        <w:widowControl w:val="0"/>
        <w:kinsoku/>
        <w:wordWrap/>
        <w:overflowPunct/>
        <w:topLinePunct w:val="0"/>
        <w:autoSpaceDE/>
        <w:autoSpaceDN/>
        <w:bidi w:val="0"/>
        <w:adjustRightInd/>
        <w:spacing w:beforeAutospacing="0" w:afterAutospacing="0" w:line="560" w:lineRule="exact"/>
        <w:ind w:firstLine="652" w:firstLineChars="200"/>
        <w:textAlignment w:val="auto"/>
        <w:rPr>
          <w:rFonts w:hint="default" w:ascii="Times New Roman" w:hAnsi="Times New Roman" w:eastAsia="仿宋_GB2312" w:cs="Times New Roman"/>
          <w:b w:val="0"/>
          <w:bCs w:val="0"/>
          <w:snapToGrid w:val="0"/>
          <w:color w:val="auto"/>
          <w:spacing w:val="3"/>
          <w:kern w:val="0"/>
          <w:sz w:val="32"/>
          <w:szCs w:val="32"/>
          <w:lang w:val="en-US" w:eastAsia="en-US" w:bidi="ar-SA"/>
        </w:rPr>
      </w:pPr>
      <w:r>
        <w:rPr>
          <w:rFonts w:hint="default" w:ascii="Times New Roman" w:hAnsi="Times New Roman" w:eastAsia="仿宋_GB2312" w:cs="Times New Roman"/>
          <w:b w:val="0"/>
          <w:bCs w:val="0"/>
          <w:snapToGrid w:val="0"/>
          <w:color w:val="auto"/>
          <w:spacing w:val="3"/>
          <w:kern w:val="0"/>
          <w:sz w:val="32"/>
          <w:szCs w:val="32"/>
          <w:lang w:val="en-US" w:eastAsia="en-US" w:bidi="ar-SA"/>
        </w:rPr>
        <w:t>4.推动形成社会共治格局。通过线下阵地宣讲、线上视频传播等方式，加大典型违法、事故案例曝光力度，引导群众引以为戒，切实提升电动车驾驶人的法治意识和规则意识。充分发挥群众举报投诉作用，优化简化举报流程，提升处理违法行为的执法效率，加快形成社会共治格局。</w:t>
      </w: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r>
        <w:rPr>
          <w:rFonts w:hint="default" w:ascii="Times New Roman" w:hAnsi="Times New Roman" w:eastAsia="仿宋_GB2312" w:cs="Times New Roman"/>
          <w:b/>
          <w:color w:val="000000"/>
          <w:kern w:val="0"/>
          <w:sz w:val="32"/>
          <w:szCs w:val="32"/>
          <w:lang w:eastAsia="zh-CN"/>
        </w:rPr>
        <w:t>主办</w:t>
      </w:r>
      <w:r>
        <w:rPr>
          <w:rFonts w:hint="default" w:ascii="Times New Roman" w:hAnsi="Times New Roman" w:eastAsia="仿宋_GB2312" w:cs="Times New Roman"/>
          <w:b/>
          <w:color w:val="000000"/>
          <w:kern w:val="0"/>
          <w:sz w:val="32"/>
          <w:szCs w:val="32"/>
        </w:rPr>
        <w:t>单位：市公安</w:t>
      </w:r>
      <w:r>
        <w:rPr>
          <w:rFonts w:hint="default" w:ascii="Times New Roman" w:hAnsi="Times New Roman" w:eastAsia="仿宋_GB2312" w:cs="Times New Roman"/>
          <w:b/>
          <w:color w:val="000000"/>
          <w:kern w:val="0"/>
          <w:sz w:val="32"/>
          <w:szCs w:val="32"/>
          <w:lang w:eastAsia="zh-CN"/>
        </w:rPr>
        <w:t>局</w:t>
      </w: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p>
    <w:p>
      <w:pPr>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仿宋_GB2312" w:cs="Times New Roman"/>
          <w:b/>
          <w:color w:val="000000"/>
          <w:kern w:val="0"/>
          <w:sz w:val="32"/>
          <w:szCs w:val="32"/>
          <w:lang w:eastAsia="zh-CN"/>
        </w:rPr>
      </w:pPr>
      <w:r>
        <w:rPr>
          <w:rFonts w:hint="default" w:ascii="Times New Roman" w:hAnsi="Times New Roman" w:eastAsia="仿宋_GB2312" w:cs="Times New Roman"/>
          <w:b/>
          <w:color w:val="000000"/>
          <w:kern w:val="0"/>
          <w:sz w:val="32"/>
          <w:szCs w:val="32"/>
          <w:lang w:eastAsia="zh-CN"/>
        </w:rPr>
        <w:t>办理答复情况：</w:t>
      </w:r>
    </w:p>
    <w:p>
      <w:pPr>
        <w:pStyle w:val="2"/>
        <w:keepNext w:val="0"/>
        <w:keepLines w:val="0"/>
        <w:pageBreakBefore w:val="0"/>
        <w:kinsoku/>
        <w:wordWrap/>
        <w:overflowPunct/>
        <w:topLinePunct w:val="0"/>
        <w:bidi w:val="0"/>
        <w:spacing w:line="560" w:lineRule="exact"/>
        <w:rPr>
          <w:rFonts w:hint="default" w:ascii="Times New Roman" w:hAnsi="Times New Roman" w:cs="Times New Roman"/>
          <w:sz w:val="32"/>
          <w:szCs w:val="32"/>
        </w:rPr>
      </w:pPr>
    </w:p>
    <w:p>
      <w:pPr>
        <w:keepNext w:val="0"/>
        <w:keepLines w:val="0"/>
        <w:pageBreakBefore w:val="0"/>
        <w:kinsoku/>
        <w:wordWrap/>
        <w:overflowPunct/>
        <w:topLinePunct w:val="0"/>
        <w:bidi w:val="0"/>
        <w:spacing w:line="560" w:lineRule="exact"/>
        <w:ind w:right="0" w:right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柳州市公安局对</w:t>
      </w:r>
      <w:r>
        <w:rPr>
          <w:rFonts w:hint="eastAsia" w:ascii="方正小标宋简体" w:hAnsi="方正小标宋简体" w:eastAsia="方正小标宋简体" w:cs="方正小标宋简体"/>
          <w:sz w:val="44"/>
          <w:szCs w:val="44"/>
        </w:rPr>
        <w:t>柳州市第十五届人大</w:t>
      </w:r>
    </w:p>
    <w:p>
      <w:pPr>
        <w:keepNext w:val="0"/>
        <w:keepLines w:val="0"/>
        <w:pageBreakBefore w:val="0"/>
        <w:kinsoku/>
        <w:wordWrap/>
        <w:overflowPunct/>
        <w:topLinePunct w:val="0"/>
        <w:bidi w:val="0"/>
        <w:spacing w:line="560" w:lineRule="exact"/>
        <w:ind w:right="0" w:rightChars="0"/>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第八次会议</w:t>
      </w:r>
      <w:r>
        <w:rPr>
          <w:rFonts w:hint="default" w:ascii="Times New Roman" w:hAnsi="Times New Roman" w:eastAsia="方正小标宋简体" w:cs="Times New Roman"/>
          <w:sz w:val="44"/>
          <w:szCs w:val="44"/>
        </w:rPr>
        <w:t>第</w:t>
      </w:r>
      <w:r>
        <w:rPr>
          <w:rFonts w:hint="default" w:ascii="Times New Roman" w:hAnsi="Times New Roman" w:eastAsia="方正小标宋简体" w:cs="Times New Roman"/>
          <w:sz w:val="44"/>
          <w:szCs w:val="44"/>
          <w:lang w:val="en-US" w:eastAsia="zh-CN"/>
        </w:rPr>
        <w:t>54</w:t>
      </w:r>
      <w:r>
        <w:rPr>
          <w:rFonts w:hint="default" w:ascii="Times New Roman" w:hAnsi="Times New Roman" w:eastAsia="方正小标宋简体" w:cs="Times New Roman"/>
          <w:sz w:val="44"/>
          <w:szCs w:val="44"/>
        </w:rPr>
        <w:t>号</w:t>
      </w:r>
      <w:r>
        <w:rPr>
          <w:rFonts w:hint="default" w:ascii="Times New Roman" w:hAnsi="Times New Roman" w:eastAsia="方正小标宋简体" w:cs="Times New Roman"/>
          <w:sz w:val="44"/>
          <w:szCs w:val="44"/>
          <w:lang w:eastAsia="zh-CN"/>
        </w:rPr>
        <w:t>代</w:t>
      </w:r>
      <w:r>
        <w:rPr>
          <w:rFonts w:hint="eastAsia" w:ascii="方正小标宋简体" w:hAnsi="方正小标宋简体" w:eastAsia="方正小标宋简体" w:cs="方正小标宋简体"/>
          <w:sz w:val="44"/>
          <w:szCs w:val="44"/>
          <w:lang w:eastAsia="zh-CN"/>
        </w:rPr>
        <w:t>表</w:t>
      </w:r>
      <w:r>
        <w:rPr>
          <w:rFonts w:hint="eastAsia" w:ascii="方正小标宋简体" w:hAnsi="方正小标宋简体" w:eastAsia="方正小标宋简体" w:cs="方正小标宋简体"/>
          <w:sz w:val="44"/>
          <w:szCs w:val="44"/>
        </w:rPr>
        <w:t>建议</w:t>
      </w:r>
      <w:r>
        <w:rPr>
          <w:rFonts w:hint="eastAsia" w:ascii="方正小标宋简体" w:hAnsi="方正小标宋简体" w:eastAsia="方正小标宋简体" w:cs="方正小标宋简体"/>
          <w:sz w:val="44"/>
          <w:szCs w:val="44"/>
          <w:lang w:val="en-US" w:eastAsia="zh-CN"/>
        </w:rPr>
        <w:t>的</w:t>
      </w:r>
      <w:r>
        <w:rPr>
          <w:rFonts w:hint="eastAsia" w:ascii="方正小标宋简体" w:hAnsi="方正小标宋简体" w:eastAsia="方正小标宋简体" w:cs="方正小标宋简体"/>
          <w:sz w:val="44"/>
          <w:szCs w:val="44"/>
        </w:rPr>
        <w:t>答复</w:t>
      </w:r>
    </w:p>
    <w:p>
      <w:pPr>
        <w:keepNext w:val="0"/>
        <w:keepLines w:val="0"/>
        <w:pageBreakBefore w:val="0"/>
        <w:kinsoku/>
        <w:wordWrap/>
        <w:overflowPunct/>
        <w:topLinePunct w:val="0"/>
        <w:bidi w:val="0"/>
        <w:spacing w:line="560" w:lineRule="exact"/>
        <w:ind w:firstLine="640" w:firstLineChars="200"/>
        <w:jc w:val="both"/>
        <w:rPr>
          <w:rFonts w:hint="default" w:ascii="Times New Roman" w:hAnsi="Times New Roman" w:eastAsia="仿宋_GB2312" w:cs="Times New Roman"/>
          <w:sz w:val="32"/>
          <w:szCs w:val="32"/>
        </w:rPr>
      </w:pPr>
    </w:p>
    <w:p>
      <w:pPr>
        <w:keepNext w:val="0"/>
        <w:keepLines w:val="0"/>
        <w:pageBreakBefore w:val="0"/>
        <w:kinsoku/>
        <w:wordWrap/>
        <w:overflowPunct/>
        <w:topLinePunct w:val="0"/>
        <w:bidi w:val="0"/>
        <w:spacing w:line="560" w:lineRule="exact"/>
        <w:jc w:val="left"/>
        <w:rPr>
          <w:rFonts w:eastAsia="仿宋_GB2312"/>
          <w:sz w:val="32"/>
          <w:szCs w:val="32"/>
        </w:rPr>
      </w:pPr>
      <w:r>
        <w:rPr>
          <w:rFonts w:hint="eastAsia" w:eastAsia="仿宋_GB2312"/>
          <w:sz w:val="32"/>
          <w:szCs w:val="32"/>
          <w:lang w:val="en-US" w:eastAsia="zh-CN"/>
        </w:rPr>
        <w:t>XX</w:t>
      </w:r>
      <w:r>
        <w:rPr>
          <w:rFonts w:hint="eastAsia" w:eastAsia="仿宋_GB2312"/>
          <w:sz w:val="32"/>
          <w:szCs w:val="32"/>
          <w:lang w:eastAsia="zh-CN"/>
        </w:rPr>
        <w:t>代表</w:t>
      </w:r>
      <w:r>
        <w:rPr>
          <w:rFonts w:eastAsia="仿宋_GB2312"/>
          <w:sz w:val="32"/>
          <w:szCs w:val="32"/>
        </w:rPr>
        <w:t>：</w:t>
      </w:r>
    </w:p>
    <w:p>
      <w:pPr>
        <w:keepNext w:val="0"/>
        <w:keepLines w:val="0"/>
        <w:pageBreakBefore w:val="0"/>
        <w:kinsoku/>
        <w:wordWrap/>
        <w:overflowPunct/>
        <w:topLinePunct w:val="0"/>
        <w:bidi w:val="0"/>
        <w:spacing w:line="560" w:lineRule="exact"/>
        <w:ind w:firstLine="640" w:firstLineChars="200"/>
        <w:jc w:val="both"/>
        <w:rPr>
          <w:rFonts w:eastAsia="仿宋_GB2312"/>
          <w:sz w:val="32"/>
          <w:szCs w:val="32"/>
        </w:rPr>
      </w:pPr>
      <w:r>
        <w:rPr>
          <w:rFonts w:hint="eastAsia" w:eastAsia="仿宋_GB2312"/>
          <w:sz w:val="32"/>
          <w:szCs w:val="32"/>
        </w:rPr>
        <w:t>您</w:t>
      </w:r>
      <w:r>
        <w:rPr>
          <w:rFonts w:eastAsia="仿宋_GB2312"/>
          <w:sz w:val="32"/>
          <w:szCs w:val="32"/>
        </w:rPr>
        <w:t>在</w:t>
      </w:r>
      <w:r>
        <w:rPr>
          <w:rFonts w:hint="eastAsia" w:eastAsia="仿宋_GB2312"/>
          <w:sz w:val="32"/>
          <w:szCs w:val="32"/>
        </w:rPr>
        <w:t>柳州市第十五届人大第八次会议</w:t>
      </w:r>
      <w:r>
        <w:rPr>
          <w:rFonts w:eastAsia="仿宋_GB2312"/>
          <w:sz w:val="32"/>
          <w:szCs w:val="32"/>
        </w:rPr>
        <w:t>提出</w:t>
      </w:r>
      <w:r>
        <w:rPr>
          <w:rFonts w:hint="eastAsia" w:eastAsia="仿宋_GB2312"/>
          <w:sz w:val="32"/>
          <w:szCs w:val="32"/>
        </w:rPr>
        <w:t>的</w:t>
      </w:r>
      <w:r>
        <w:rPr>
          <w:rFonts w:eastAsia="仿宋_GB2312"/>
          <w:sz w:val="32"/>
          <w:szCs w:val="32"/>
        </w:rPr>
        <w:t>《</w:t>
      </w:r>
      <w:r>
        <w:rPr>
          <w:rFonts w:hint="eastAsia" w:eastAsia="仿宋_GB2312"/>
          <w:sz w:val="32"/>
          <w:szCs w:val="32"/>
        </w:rPr>
        <w:t>关于加强电动自行车交通安全管理的建议</w:t>
      </w:r>
      <w:r>
        <w:rPr>
          <w:rFonts w:eastAsia="仿宋_GB2312"/>
          <w:sz w:val="32"/>
          <w:szCs w:val="32"/>
        </w:rPr>
        <w:t>》（第</w:t>
      </w:r>
      <w:r>
        <w:rPr>
          <w:rFonts w:hint="eastAsia" w:eastAsia="仿宋_GB2312" w:cs="仿宋_GB2312"/>
          <w:sz w:val="32"/>
          <w:szCs w:val="32"/>
        </w:rPr>
        <w:t>54</w:t>
      </w:r>
      <w:r>
        <w:rPr>
          <w:rFonts w:eastAsia="仿宋_GB2312"/>
          <w:sz w:val="32"/>
          <w:szCs w:val="32"/>
        </w:rPr>
        <w:t>号）收悉，</w:t>
      </w:r>
      <w:r>
        <w:rPr>
          <w:rFonts w:hint="eastAsia" w:eastAsia="仿宋_GB2312" w:cs="仿宋_GB2312"/>
          <w:kern w:val="0"/>
          <w:sz w:val="32"/>
          <w:szCs w:val="32"/>
        </w:rPr>
        <w:t>由市人民政府办公室交由我单位</w:t>
      </w:r>
      <w:r>
        <w:rPr>
          <w:rFonts w:hint="eastAsia" w:eastAsia="仿宋_GB2312" w:cs="仿宋_GB2312"/>
          <w:kern w:val="0"/>
          <w:sz w:val="32"/>
          <w:szCs w:val="32"/>
          <w:lang w:eastAsia="zh-CN"/>
        </w:rPr>
        <w:t>牵头办理</w:t>
      </w:r>
      <w:r>
        <w:rPr>
          <w:rFonts w:hint="eastAsia" w:eastAsia="仿宋_GB2312" w:cs="仿宋_GB2312"/>
          <w:kern w:val="0"/>
          <w:sz w:val="32"/>
          <w:szCs w:val="32"/>
        </w:rPr>
        <w:t>，</w:t>
      </w:r>
      <w:r>
        <w:rPr>
          <w:rFonts w:hint="default" w:ascii="Times New Roman" w:hAnsi="Times New Roman" w:eastAsia="仿宋_GB2312" w:cs="Times New Roman"/>
          <w:sz w:val="32"/>
          <w:szCs w:val="32"/>
        </w:rPr>
        <w:t>市市场监管局</w:t>
      </w:r>
      <w:r>
        <w:rPr>
          <w:rFonts w:hint="eastAsia" w:ascii="Times New Roman" w:hAnsi="Times New Roman" w:eastAsia="仿宋_GB2312" w:cs="Times New Roman"/>
          <w:sz w:val="32"/>
          <w:szCs w:val="32"/>
        </w:rPr>
        <w:t>协办</w:t>
      </w:r>
      <w:r>
        <w:rPr>
          <w:rFonts w:hint="eastAsia" w:eastAsia="仿宋_GB2312"/>
          <w:sz w:val="32"/>
          <w:szCs w:val="32"/>
        </w:rPr>
        <w:t>。</w:t>
      </w:r>
      <w:r>
        <w:rPr>
          <w:rFonts w:eastAsia="仿宋_GB2312"/>
          <w:sz w:val="32"/>
          <w:szCs w:val="32"/>
        </w:rPr>
        <w:t>经研究，现答复如下：</w:t>
      </w:r>
    </w:p>
    <w:p>
      <w:pPr>
        <w:keepNext w:val="0"/>
        <w:keepLines w:val="0"/>
        <w:pageBreakBefore w:val="0"/>
        <w:kinsoku/>
        <w:wordWrap/>
        <w:overflowPunct/>
        <w:topLinePunct w:val="0"/>
        <w:bidi w:val="0"/>
        <w:spacing w:line="560" w:lineRule="exact"/>
        <w:ind w:firstLine="640" w:firstLineChars="200"/>
        <w:jc w:val="both"/>
        <w:rPr>
          <w:rFonts w:hint="eastAsia" w:eastAsia="仿宋_GB2312"/>
          <w:sz w:val="32"/>
          <w:szCs w:val="32"/>
        </w:rPr>
      </w:pPr>
      <w:r>
        <w:rPr>
          <w:rFonts w:hint="eastAsia" w:ascii="黑体" w:hAnsi="黑体" w:eastAsia="黑体" w:cs="楷体_GB2312"/>
          <w:sz w:val="32"/>
          <w:szCs w:val="32"/>
        </w:rPr>
        <w:t>一、加强路面管控，突出严管严查。</w:t>
      </w:r>
      <w:r>
        <w:rPr>
          <w:rFonts w:hint="eastAsia" w:eastAsia="仿宋_GB2312" w:cs="仿宋_GB2312"/>
          <w:kern w:val="0"/>
          <w:sz w:val="32"/>
          <w:szCs w:val="32"/>
        </w:rPr>
        <w:t>每天聚焦电动自行车摩托车大流量通行路段和早晚高峰时段，开展“设点盘查+流动巡查”，全面加强电动自行车摩托车违法查纠。“零容忍”打击“飙车炸街”、非法改装、无牌假牌等违法顽疾，深度分析违法规律，推广“无人机+铁骑”等智慧战法，强化精准打击。对发生交通亡人事故涉嫌非法改装车辆，一律启动深度调查，溯源倒查非法改装门店，依法顶格处罚。</w:t>
      </w:r>
      <w:r>
        <w:rPr>
          <w:rFonts w:hint="eastAsia" w:ascii="仿宋_GB2312" w:eastAsia="仿宋_GB2312"/>
          <w:color w:val="000000"/>
          <w:sz w:val="32"/>
          <w:szCs w:val="32"/>
          <w:shd w:val="clear" w:color="auto" w:fill="FFFFFF"/>
        </w:rPr>
        <w:t>据统计，近三年（</w:t>
      </w:r>
      <w:r>
        <w:rPr>
          <w:rFonts w:hint="eastAsia" w:ascii="Times New Roman" w:hAnsi="Times New Roman" w:eastAsia="仿宋_GB2312" w:cs="仿宋_GB2312"/>
          <w:color w:val="000000"/>
          <w:sz w:val="32"/>
          <w:szCs w:val="32"/>
          <w:shd w:val="clear" w:color="auto" w:fill="auto"/>
        </w:rPr>
        <w:t>2023</w:t>
      </w:r>
      <w:r>
        <w:rPr>
          <w:rFonts w:hint="eastAsia" w:ascii="仿宋_GB2312" w:eastAsia="仿宋_GB2312"/>
          <w:color w:val="000000"/>
          <w:sz w:val="32"/>
          <w:szCs w:val="32"/>
          <w:shd w:val="clear" w:color="auto" w:fill="FFFFFF"/>
        </w:rPr>
        <w:t>至</w:t>
      </w:r>
      <w:r>
        <w:rPr>
          <w:rFonts w:hint="eastAsia" w:ascii="Times New Roman" w:hAnsi="Times New Roman" w:eastAsia="仿宋_GB2312" w:cs="仿宋_GB2312"/>
          <w:color w:val="000000"/>
          <w:sz w:val="32"/>
          <w:szCs w:val="32"/>
          <w:shd w:val="clear" w:color="auto" w:fill="auto"/>
        </w:rPr>
        <w:t>2025</w:t>
      </w:r>
      <w:r>
        <w:rPr>
          <w:rFonts w:hint="eastAsia" w:ascii="仿宋_GB2312" w:eastAsia="仿宋_GB2312"/>
          <w:color w:val="000000"/>
          <w:sz w:val="32"/>
          <w:szCs w:val="32"/>
          <w:shd w:val="clear" w:color="auto" w:fill="FFFFFF"/>
        </w:rPr>
        <w:t>年）</w:t>
      </w:r>
      <w:r>
        <w:rPr>
          <w:rFonts w:hint="eastAsia" w:ascii="仿宋_GB2312" w:eastAsia="仿宋_GB2312"/>
          <w:color w:val="000000"/>
          <w:sz w:val="32"/>
          <w:szCs w:val="32"/>
          <w:shd w:val="clear" w:color="auto" w:fill="FFFFFF"/>
          <w:lang w:eastAsia="zh-CN"/>
        </w:rPr>
        <w:t>，</w:t>
      </w:r>
      <w:r>
        <w:rPr>
          <w:rFonts w:hint="eastAsia" w:ascii="仿宋_GB2312" w:eastAsia="仿宋_GB2312"/>
          <w:color w:val="000000"/>
          <w:sz w:val="32"/>
          <w:szCs w:val="32"/>
          <w:shd w:val="clear" w:color="auto" w:fill="FFFFFF"/>
        </w:rPr>
        <w:t>全市分别查处电动自行车交通违法</w:t>
      </w:r>
      <w:r>
        <w:rPr>
          <w:rFonts w:hint="eastAsia" w:ascii="Times New Roman" w:hAnsi="Times New Roman" w:eastAsia="仿宋_GB2312" w:cs="仿宋_GB2312"/>
          <w:color w:val="000000"/>
          <w:sz w:val="32"/>
          <w:szCs w:val="32"/>
          <w:shd w:val="clear" w:color="auto" w:fill="auto"/>
        </w:rPr>
        <w:t>41.6</w:t>
      </w:r>
      <w:r>
        <w:rPr>
          <w:rFonts w:hint="eastAsia" w:ascii="仿宋_GB2312" w:eastAsia="仿宋_GB2312"/>
          <w:color w:val="000000"/>
          <w:sz w:val="32"/>
          <w:szCs w:val="32"/>
          <w:shd w:val="clear" w:color="auto" w:fill="FFFFFF"/>
        </w:rPr>
        <w:t>万起、</w:t>
      </w:r>
      <w:r>
        <w:rPr>
          <w:rFonts w:hint="eastAsia" w:ascii="Times New Roman" w:hAnsi="Times New Roman" w:eastAsia="仿宋_GB2312" w:cs="仿宋_GB2312"/>
          <w:color w:val="000000"/>
          <w:sz w:val="32"/>
          <w:szCs w:val="32"/>
          <w:shd w:val="clear" w:color="auto" w:fill="auto"/>
        </w:rPr>
        <w:t>41.8</w:t>
      </w:r>
      <w:r>
        <w:rPr>
          <w:rFonts w:hint="eastAsia" w:ascii="仿宋_GB2312" w:eastAsia="仿宋_GB2312"/>
          <w:color w:val="000000"/>
          <w:sz w:val="32"/>
          <w:szCs w:val="32"/>
          <w:shd w:val="clear" w:color="auto" w:fill="FFFFFF"/>
        </w:rPr>
        <w:t>万起、</w:t>
      </w:r>
      <w:r>
        <w:rPr>
          <w:rFonts w:hint="eastAsia" w:ascii="Times New Roman" w:hAnsi="Times New Roman" w:eastAsia="仿宋_GB2312" w:cs="仿宋_GB2312"/>
          <w:color w:val="000000"/>
          <w:sz w:val="32"/>
          <w:szCs w:val="32"/>
          <w:shd w:val="clear" w:color="auto" w:fill="auto"/>
        </w:rPr>
        <w:t>40.4</w:t>
      </w:r>
      <w:r>
        <w:rPr>
          <w:rFonts w:hint="eastAsia" w:ascii="仿宋_GB2312" w:eastAsia="仿宋_GB2312"/>
          <w:color w:val="000000"/>
          <w:sz w:val="32"/>
          <w:szCs w:val="32"/>
          <w:shd w:val="clear" w:color="auto" w:fill="FFFFFF"/>
        </w:rPr>
        <w:t>万</w:t>
      </w:r>
      <w:r>
        <w:rPr>
          <w:rFonts w:hint="eastAsia" w:ascii="仿宋_GB2312" w:eastAsia="仿宋_GB2312"/>
          <w:color w:val="000000"/>
          <w:sz w:val="32"/>
          <w:szCs w:val="32"/>
          <w:shd w:val="clear" w:color="auto" w:fill="FFFFFF"/>
          <w:lang w:eastAsia="zh-CN"/>
        </w:rPr>
        <w:t>起；</w:t>
      </w:r>
      <w:r>
        <w:rPr>
          <w:rFonts w:hint="eastAsia" w:ascii="Times New Roman" w:hAnsi="Times New Roman" w:eastAsia="仿宋_GB2312" w:cs="仿宋_GB2312"/>
          <w:color w:val="000000"/>
          <w:sz w:val="32"/>
          <w:szCs w:val="32"/>
          <w:shd w:val="clear" w:color="auto" w:fill="auto"/>
        </w:rPr>
        <w:t>2026</w:t>
      </w:r>
      <w:r>
        <w:rPr>
          <w:rFonts w:hint="eastAsia" w:ascii="仿宋_GB2312" w:eastAsia="仿宋_GB2312"/>
          <w:color w:val="000000"/>
          <w:sz w:val="32"/>
          <w:szCs w:val="32"/>
          <w:shd w:val="clear" w:color="auto" w:fill="FFFFFF"/>
        </w:rPr>
        <w:t>年</w:t>
      </w:r>
      <w:r>
        <w:rPr>
          <w:rFonts w:hint="default" w:ascii="Times New Roman" w:eastAsia="仿宋_GB2312" w:cs="Times New Roman"/>
          <w:color w:val="000000"/>
          <w:sz w:val="32"/>
          <w:szCs w:val="32"/>
          <w:shd w:val="clear" w:color="auto" w:fill="FFFFFF"/>
          <w:lang w:val="en-US" w:eastAsia="zh-CN"/>
        </w:rPr>
        <w:t>1月</w:t>
      </w:r>
      <w:r>
        <w:rPr>
          <w:rFonts w:hint="eastAsia" w:ascii="仿宋_GB2312" w:eastAsia="仿宋_GB2312"/>
          <w:color w:val="000000"/>
          <w:sz w:val="32"/>
          <w:szCs w:val="32"/>
          <w:shd w:val="clear" w:color="auto" w:fill="FFFFFF"/>
          <w:lang w:val="en-US" w:eastAsia="zh-CN"/>
        </w:rPr>
        <w:t>至</w:t>
      </w:r>
      <w:r>
        <w:rPr>
          <w:rFonts w:hint="eastAsia" w:ascii="Times New Roman" w:hAnsi="Times New Roman" w:eastAsia="仿宋_GB2312" w:cs="仿宋_GB2312"/>
          <w:color w:val="000000"/>
          <w:sz w:val="32"/>
          <w:szCs w:val="32"/>
          <w:shd w:val="clear" w:color="auto" w:fill="auto"/>
        </w:rPr>
        <w:t>6</w:t>
      </w:r>
      <w:r>
        <w:rPr>
          <w:rFonts w:hint="eastAsia" w:ascii="仿宋_GB2312" w:eastAsia="仿宋_GB2312"/>
          <w:color w:val="000000"/>
          <w:sz w:val="32"/>
          <w:szCs w:val="32"/>
          <w:shd w:val="clear" w:color="auto" w:fill="FFFFFF"/>
        </w:rPr>
        <w:t>月，全市查处电动自行车重点交通违法行为</w:t>
      </w:r>
      <w:r>
        <w:rPr>
          <w:rFonts w:hint="eastAsia" w:ascii="Times New Roman" w:hAnsi="Times New Roman" w:eastAsia="仿宋_GB2312" w:cs="仿宋_GB2312"/>
          <w:color w:val="000000"/>
          <w:sz w:val="32"/>
          <w:szCs w:val="32"/>
          <w:shd w:val="clear" w:color="auto" w:fill="auto"/>
        </w:rPr>
        <w:t>12.2</w:t>
      </w:r>
      <w:r>
        <w:rPr>
          <w:rFonts w:hint="eastAsia" w:ascii="仿宋_GB2312" w:eastAsia="仿宋_GB2312"/>
          <w:color w:val="000000"/>
          <w:sz w:val="32"/>
          <w:szCs w:val="32"/>
          <w:shd w:val="clear" w:color="auto" w:fill="FFFFFF"/>
        </w:rPr>
        <w:t>万起，全市电动自行车交通违法查处力度整体处于高压严管态势。</w:t>
      </w:r>
      <w:r>
        <w:rPr>
          <w:rFonts w:hint="eastAsia" w:ascii="仿宋_GB2312" w:eastAsia="仿宋_GB2312"/>
          <w:sz w:val="32"/>
          <w:szCs w:val="32"/>
        </w:rPr>
        <w:t>涉</w:t>
      </w:r>
      <w:r>
        <w:rPr>
          <w:rFonts w:hint="eastAsia" w:ascii="仿宋_GB2312" w:eastAsia="仿宋_GB2312"/>
          <w:sz w:val="32"/>
          <w:szCs w:val="32"/>
          <w:lang w:eastAsia="zh-CN"/>
        </w:rPr>
        <w:t>及</w:t>
      </w:r>
      <w:r>
        <w:rPr>
          <w:rFonts w:hint="eastAsia" w:ascii="仿宋_GB2312" w:eastAsia="仿宋_GB2312"/>
          <w:sz w:val="32"/>
          <w:szCs w:val="32"/>
        </w:rPr>
        <w:t>电动自行车交通事故死亡人数由</w:t>
      </w:r>
      <w:r>
        <w:rPr>
          <w:rFonts w:hint="eastAsia" w:ascii="Times New Roman" w:hAnsi="Times New Roman" w:eastAsia="仿宋_GB2312" w:cs="仿宋_GB2312"/>
          <w:sz w:val="32"/>
          <w:szCs w:val="32"/>
        </w:rPr>
        <w:t>2023</w:t>
      </w:r>
      <w:r>
        <w:rPr>
          <w:rFonts w:hint="eastAsia" w:ascii="仿宋_GB2312" w:eastAsia="仿宋_GB2312"/>
          <w:sz w:val="32"/>
          <w:szCs w:val="32"/>
        </w:rPr>
        <w:t>年的</w:t>
      </w:r>
      <w:r>
        <w:rPr>
          <w:rFonts w:hint="eastAsia" w:ascii="Times New Roman" w:hAnsi="Times New Roman" w:eastAsia="仿宋_GB2312" w:cs="仿宋_GB2312"/>
          <w:sz w:val="32"/>
          <w:szCs w:val="32"/>
        </w:rPr>
        <w:t>38</w:t>
      </w:r>
      <w:r>
        <w:rPr>
          <w:rFonts w:hint="eastAsia" w:ascii="仿宋_GB2312" w:eastAsia="仿宋_GB2312"/>
          <w:sz w:val="32"/>
          <w:szCs w:val="32"/>
        </w:rPr>
        <w:t>人下降至</w:t>
      </w:r>
      <w:r>
        <w:rPr>
          <w:rFonts w:hint="eastAsia" w:ascii="Times New Roman" w:hAnsi="Times New Roman" w:eastAsia="仿宋_GB2312" w:cs="仿宋_GB2312"/>
          <w:sz w:val="32"/>
          <w:szCs w:val="32"/>
        </w:rPr>
        <w:t>2025</w:t>
      </w:r>
      <w:r>
        <w:rPr>
          <w:rFonts w:hint="eastAsia" w:ascii="仿宋_GB2312" w:eastAsia="仿宋_GB2312"/>
          <w:sz w:val="32"/>
          <w:szCs w:val="32"/>
        </w:rPr>
        <w:t>年的</w:t>
      </w:r>
      <w:r>
        <w:rPr>
          <w:rFonts w:hint="eastAsia" w:ascii="Times New Roman" w:hAnsi="Times New Roman" w:eastAsia="仿宋_GB2312" w:cs="仿宋_GB2312"/>
          <w:sz w:val="32"/>
          <w:szCs w:val="32"/>
        </w:rPr>
        <w:t>27</w:t>
      </w:r>
      <w:r>
        <w:rPr>
          <w:rFonts w:hint="eastAsia" w:ascii="仿宋_GB2312" w:eastAsia="仿宋_GB2312"/>
          <w:sz w:val="32"/>
          <w:szCs w:val="32"/>
        </w:rPr>
        <w:t>人，同比下降</w:t>
      </w:r>
      <w:r>
        <w:rPr>
          <w:rFonts w:hint="eastAsia" w:ascii="Times New Roman" w:hAnsi="Times New Roman" w:eastAsia="仿宋_GB2312" w:cs="仿宋_GB2312"/>
          <w:sz w:val="32"/>
          <w:szCs w:val="32"/>
        </w:rPr>
        <w:t>28.9%</w:t>
      </w:r>
      <w:r>
        <w:rPr>
          <w:rFonts w:hint="eastAsia" w:ascii="仿宋_GB2312" w:eastAsia="仿宋_GB2312"/>
          <w:sz w:val="32"/>
          <w:szCs w:val="32"/>
        </w:rPr>
        <w:t>。</w:t>
      </w:r>
      <w:r>
        <w:rPr>
          <w:rFonts w:hint="eastAsia" w:ascii="仿宋_GB2312" w:eastAsia="仿宋_GB2312"/>
          <w:color w:val="000000"/>
          <w:sz w:val="32"/>
          <w:szCs w:val="32"/>
          <w:highlight w:val="none"/>
          <w:shd w:val="clear" w:color="auto" w:fill="FFFFFF"/>
        </w:rPr>
        <w:t>截至</w:t>
      </w:r>
      <w:r>
        <w:rPr>
          <w:rFonts w:hint="eastAsia" w:ascii="Times New Roman" w:hAnsi="Times New Roman" w:eastAsia="仿宋_GB2312" w:cs="仿宋_GB2312"/>
          <w:color w:val="000000"/>
          <w:sz w:val="32"/>
          <w:szCs w:val="32"/>
          <w:highlight w:val="none"/>
          <w:shd w:val="clear" w:color="auto" w:fill="auto"/>
        </w:rPr>
        <w:t>2026</w:t>
      </w:r>
      <w:r>
        <w:rPr>
          <w:rFonts w:hint="eastAsia" w:ascii="仿宋_GB2312" w:eastAsia="仿宋_GB2312"/>
          <w:color w:val="000000"/>
          <w:sz w:val="32"/>
          <w:szCs w:val="32"/>
          <w:highlight w:val="none"/>
          <w:shd w:val="clear" w:color="auto" w:fill="FFFFFF"/>
        </w:rPr>
        <w:t>年</w:t>
      </w:r>
      <w:r>
        <w:rPr>
          <w:rFonts w:hint="eastAsia" w:ascii="Times New Roman" w:hAnsi="Times New Roman" w:eastAsia="仿宋_GB2312" w:cs="仿宋_GB2312"/>
          <w:color w:val="000000"/>
          <w:sz w:val="32"/>
          <w:szCs w:val="32"/>
          <w:highlight w:val="none"/>
          <w:shd w:val="clear" w:color="auto" w:fill="auto"/>
        </w:rPr>
        <w:t>6</w:t>
      </w:r>
      <w:r>
        <w:rPr>
          <w:rFonts w:hint="eastAsia" w:ascii="仿宋_GB2312" w:eastAsia="仿宋_GB2312"/>
          <w:color w:val="000000"/>
          <w:sz w:val="32"/>
          <w:szCs w:val="32"/>
          <w:highlight w:val="none"/>
          <w:shd w:val="clear" w:color="auto" w:fill="FFFFFF"/>
        </w:rPr>
        <w:t>月份，</w:t>
      </w:r>
      <w:r>
        <w:rPr>
          <w:rFonts w:hint="eastAsia" w:ascii="仿宋_GB2312" w:eastAsia="仿宋_GB2312"/>
          <w:sz w:val="32"/>
          <w:szCs w:val="32"/>
        </w:rPr>
        <w:t>全市发生涉及电动自行车亡人道路交通事故</w:t>
      </w:r>
      <w:r>
        <w:rPr>
          <w:rFonts w:hint="eastAsia" w:ascii="Times New Roman" w:hAnsi="Times New Roman" w:eastAsia="仿宋_GB2312" w:cs="仿宋_GB2312"/>
          <w:sz w:val="32"/>
          <w:szCs w:val="32"/>
        </w:rPr>
        <w:t>13</w:t>
      </w:r>
      <w:r>
        <w:rPr>
          <w:rFonts w:hint="eastAsia" w:ascii="仿宋_GB2312" w:eastAsia="仿宋_GB2312"/>
          <w:sz w:val="32"/>
          <w:szCs w:val="32"/>
        </w:rPr>
        <w:t>起</w:t>
      </w:r>
      <w:r>
        <w:rPr>
          <w:rFonts w:hint="eastAsia" w:ascii="仿宋_GB2312" w:eastAsia="仿宋_GB2312"/>
          <w:sz w:val="32"/>
          <w:szCs w:val="32"/>
          <w:lang w:eastAsia="zh-CN"/>
        </w:rPr>
        <w:t>、</w:t>
      </w:r>
      <w:r>
        <w:rPr>
          <w:rFonts w:hint="eastAsia" w:ascii="仿宋_GB2312" w:eastAsia="仿宋_GB2312"/>
          <w:sz w:val="32"/>
          <w:szCs w:val="32"/>
        </w:rPr>
        <w:t>造成</w:t>
      </w:r>
      <w:r>
        <w:rPr>
          <w:rFonts w:hint="eastAsia" w:ascii="Times New Roman" w:hAnsi="Times New Roman" w:eastAsia="仿宋_GB2312" w:cs="仿宋_GB2312"/>
          <w:sz w:val="32"/>
          <w:szCs w:val="32"/>
        </w:rPr>
        <w:t>13</w:t>
      </w:r>
      <w:r>
        <w:rPr>
          <w:rFonts w:hint="eastAsia" w:ascii="仿宋_GB2312" w:eastAsia="仿宋_GB2312"/>
          <w:sz w:val="32"/>
          <w:szCs w:val="32"/>
        </w:rPr>
        <w:t>人死亡</w:t>
      </w:r>
      <w:r>
        <w:rPr>
          <w:rFonts w:hint="eastAsia" w:ascii="仿宋_GB2312" w:eastAsia="仿宋_GB2312"/>
          <w:sz w:val="32"/>
          <w:szCs w:val="32"/>
          <w:lang w:eastAsia="zh-CN"/>
        </w:rPr>
        <w:t>，</w:t>
      </w:r>
      <w:r>
        <w:rPr>
          <w:rFonts w:hint="eastAsia" w:ascii="仿宋_GB2312" w:eastAsia="仿宋_GB2312"/>
          <w:sz w:val="32"/>
          <w:szCs w:val="32"/>
        </w:rPr>
        <w:t>同比分别下降</w:t>
      </w:r>
      <w:r>
        <w:rPr>
          <w:rFonts w:hint="eastAsia" w:ascii="Times New Roman" w:hAnsi="Times New Roman" w:eastAsia="仿宋_GB2312" w:cs="仿宋_GB2312"/>
          <w:sz w:val="32"/>
          <w:szCs w:val="32"/>
        </w:rPr>
        <w:t>13.3%</w:t>
      </w:r>
      <w:r>
        <w:rPr>
          <w:rFonts w:hint="eastAsia" w:ascii="仿宋_GB2312" w:eastAsia="仿宋_GB2312"/>
          <w:sz w:val="32"/>
          <w:szCs w:val="32"/>
        </w:rPr>
        <w:t>、</w:t>
      </w:r>
      <w:r>
        <w:rPr>
          <w:rFonts w:hint="eastAsia" w:ascii="Times New Roman" w:hAnsi="Times New Roman" w:eastAsia="仿宋_GB2312" w:cs="仿宋_GB2312"/>
          <w:sz w:val="32"/>
          <w:szCs w:val="32"/>
        </w:rPr>
        <w:t>18.8%</w:t>
      </w:r>
      <w:r>
        <w:rPr>
          <w:rFonts w:hint="eastAsia" w:ascii="仿宋_GB2312" w:eastAsia="仿宋_GB2312"/>
          <w:sz w:val="32"/>
          <w:szCs w:val="32"/>
        </w:rPr>
        <w:t>。</w:t>
      </w:r>
    </w:p>
    <w:p>
      <w:pPr>
        <w:keepNext w:val="0"/>
        <w:keepLines w:val="0"/>
        <w:pageBreakBefore w:val="0"/>
        <w:kinsoku/>
        <w:wordWrap/>
        <w:overflowPunct/>
        <w:topLinePunct w:val="0"/>
        <w:bidi w:val="0"/>
        <w:spacing w:line="560" w:lineRule="exact"/>
        <w:ind w:firstLine="640" w:firstLineChars="200"/>
        <w:jc w:val="both"/>
        <w:rPr>
          <w:rFonts w:hint="eastAsia" w:ascii="仿宋_GB2312" w:eastAsia="仿宋_GB2312"/>
          <w:color w:val="000000"/>
          <w:sz w:val="32"/>
          <w:szCs w:val="32"/>
          <w:highlight w:val="none"/>
          <w:shd w:val="clear" w:color="auto" w:fill="FFFFFF"/>
        </w:rPr>
      </w:pPr>
      <w:r>
        <w:rPr>
          <w:rFonts w:hint="eastAsia" w:ascii="黑体" w:hAnsi="黑体" w:eastAsia="黑体" w:cs="楷体_GB2312"/>
          <w:sz w:val="32"/>
          <w:szCs w:val="32"/>
        </w:rPr>
        <w:t>二、坚持宣传引导，提升守法意识。</w:t>
      </w:r>
      <w:r>
        <w:rPr>
          <w:rFonts w:hint="eastAsia" w:ascii="仿宋_GB2312" w:eastAsia="仿宋_GB2312"/>
          <w:color w:val="000000"/>
          <w:sz w:val="32"/>
          <w:szCs w:val="32"/>
          <w:shd w:val="clear" w:color="auto" w:fill="FFFFFF"/>
        </w:rPr>
        <w:t>近年来</w:t>
      </w:r>
      <w:r>
        <w:rPr>
          <w:rFonts w:hint="eastAsia" w:ascii="仿宋_GB2312" w:hAnsi="宋体" w:eastAsia="仿宋_GB2312"/>
          <w:sz w:val="32"/>
          <w:szCs w:val="32"/>
        </w:rPr>
        <w:t>，</w:t>
      </w:r>
      <w:r>
        <w:rPr>
          <w:rFonts w:hint="eastAsia" w:ascii="仿宋_GB2312" w:hAnsi="宋体" w:eastAsia="仿宋_GB2312"/>
          <w:sz w:val="32"/>
          <w:szCs w:val="32"/>
          <w:lang w:eastAsia="zh-CN"/>
        </w:rPr>
        <w:t>市公安</w:t>
      </w:r>
      <w:r>
        <w:rPr>
          <w:rFonts w:hint="eastAsia" w:ascii="仿宋_GB2312" w:hAnsi="宋体" w:eastAsia="仿宋_GB2312"/>
          <w:sz w:val="32"/>
          <w:szCs w:val="32"/>
        </w:rPr>
        <w:t>局交管部门高度重视</w:t>
      </w:r>
      <w:r>
        <w:rPr>
          <w:rFonts w:hint="eastAsia" w:ascii="仿宋_GB2312" w:eastAsia="仿宋_GB2312"/>
          <w:color w:val="000000"/>
          <w:sz w:val="32"/>
          <w:szCs w:val="32"/>
          <w:shd w:val="clear" w:color="auto" w:fill="FFFFFF"/>
        </w:rPr>
        <w:t>电动自行车交通安全宣传教育工作，持续加强与宣传部门的沟通协调，依托主流媒体、网络平台广泛宣传，在重点部位集中投放文明骑行“公益广告”。全面推广“群众教育群众”模式，组织轻微违法者在主要路口参加交通劝导换位体验。紧扣电动自行车摩托车整治工作重点、亮点，不间断宣传整治成效，挖掘宣传一线民辅警执法为民的暖心故事，为电动自行车摩托车整治营造良好的舆论环境。</w:t>
      </w:r>
      <w:r>
        <w:rPr>
          <w:rFonts w:ascii="仿宋_GB2312" w:hAnsi="宋体" w:eastAsia="仿宋_GB2312" w:cs="仿宋_GB2312"/>
          <w:color w:val="000000"/>
          <w:sz w:val="32"/>
          <w:szCs w:val="32"/>
        </w:rPr>
        <w:t>通过线下张贴海报、发放宣传手册，线上新媒体推送等多种方式，普及非法改装的违法性和危害性，曝光典型案例，营造全民抵制非法改装的浓厚氛围。</w:t>
      </w:r>
      <w:r>
        <w:rPr>
          <w:rFonts w:hint="eastAsia" w:ascii="仿宋_GB2312" w:eastAsia="仿宋_GB2312"/>
          <w:color w:val="000000"/>
          <w:sz w:val="32"/>
          <w:szCs w:val="32"/>
          <w:shd w:val="clear" w:color="auto" w:fill="FFFFFF"/>
        </w:rPr>
        <w:t>今年以来，</w:t>
      </w:r>
      <w:r>
        <w:rPr>
          <w:rFonts w:hint="eastAsia" w:eastAsia="仿宋_GB2312" w:cs="仿宋_GB2312"/>
          <w:kern w:val="0"/>
          <w:sz w:val="32"/>
          <w:szCs w:val="32"/>
        </w:rPr>
        <w:t>累计走进社区开展安全宣讲</w:t>
      </w:r>
      <w:r>
        <w:rPr>
          <w:rFonts w:hint="eastAsia" w:ascii="Times New Roman" w:hAnsi="Times New Roman" w:eastAsia="仿宋_GB2312" w:cs="仿宋_GB2312"/>
          <w:kern w:val="2"/>
          <w:sz w:val="32"/>
          <w:szCs w:val="32"/>
        </w:rPr>
        <w:t>817</w:t>
      </w:r>
      <w:r>
        <w:rPr>
          <w:rFonts w:hint="eastAsia" w:eastAsia="仿宋_GB2312" w:cs="仿宋_GB2312"/>
          <w:kern w:val="0"/>
          <w:sz w:val="32"/>
          <w:szCs w:val="32"/>
        </w:rPr>
        <w:t>场，惠及群众7.5万人次；上门入户开展家庭宣教1246场，覆盖6661名群众；走进企业开展宣教509场次，覆盖1.5万人次，切实将安全知识送到群众身边。</w:t>
      </w:r>
      <w:r>
        <w:rPr>
          <w:rFonts w:hint="eastAsia" w:eastAsia="仿宋_GB2312" w:cs="仿宋_GB2312"/>
          <w:kern w:val="0"/>
          <w:sz w:val="32"/>
          <w:szCs w:val="32"/>
          <w:highlight w:val="none"/>
        </w:rPr>
        <w:t>创新运用无人机搭载广播系统及农村大喇叭定时定点播放交通安全提示479条，受教育群众达76万人次，打通农村宣传“最后一公里”</w:t>
      </w:r>
      <w:r>
        <w:rPr>
          <w:rFonts w:hint="eastAsia" w:eastAsia="仿宋_GB2312" w:cs="仿宋_GB2312"/>
          <w:kern w:val="0"/>
          <w:sz w:val="32"/>
          <w:szCs w:val="32"/>
        </w:rPr>
        <w:t>。针对未成年人“飙车炸街”等突出问题，联合教育部门深入学校开展精准宣传120场次，覆盖学生4.36万名，深化家校警社联动宣教机制，从源头预防和治理未成年人交通违法行为。</w:t>
      </w:r>
      <w:r>
        <w:rPr>
          <w:rFonts w:hint="eastAsia" w:ascii="仿宋_GB2312" w:eastAsia="仿宋_GB2312"/>
          <w:color w:val="000000"/>
          <w:sz w:val="32"/>
          <w:szCs w:val="32"/>
          <w:highlight w:val="none"/>
          <w:shd w:val="clear" w:color="auto" w:fill="FFFFFF"/>
        </w:rPr>
        <w:t>共发放宣传资料</w:t>
      </w:r>
      <w:r>
        <w:rPr>
          <w:rFonts w:hint="eastAsia" w:ascii="Times New Roman" w:hAnsi="Times New Roman" w:eastAsia="仿宋_GB2312" w:cs="仿宋_GB2312"/>
          <w:color w:val="000000"/>
          <w:kern w:val="0"/>
          <w:sz w:val="32"/>
          <w:szCs w:val="32"/>
          <w:highlight w:val="none"/>
          <w:shd w:val="clear" w:color="auto" w:fill="auto"/>
        </w:rPr>
        <w:t>6.89</w:t>
      </w:r>
      <w:r>
        <w:rPr>
          <w:rFonts w:hint="eastAsia" w:ascii="仿宋_GB2312" w:eastAsia="仿宋_GB2312"/>
          <w:color w:val="000000"/>
          <w:sz w:val="32"/>
          <w:szCs w:val="32"/>
          <w:highlight w:val="none"/>
          <w:shd w:val="clear" w:color="auto" w:fill="FFFFFF"/>
        </w:rPr>
        <w:t>万余份，覆盖群众</w:t>
      </w:r>
      <w:r>
        <w:rPr>
          <w:rFonts w:hint="eastAsia" w:ascii="Times New Roman" w:hAnsi="Times New Roman" w:eastAsia="仿宋_GB2312" w:cs="仿宋_GB2312"/>
          <w:color w:val="000000"/>
          <w:kern w:val="0"/>
          <w:sz w:val="32"/>
          <w:szCs w:val="32"/>
          <w:highlight w:val="none"/>
          <w:shd w:val="clear" w:color="auto" w:fill="auto"/>
        </w:rPr>
        <w:t>35</w:t>
      </w:r>
      <w:r>
        <w:rPr>
          <w:rFonts w:hint="eastAsia" w:ascii="仿宋_GB2312" w:eastAsia="仿宋_GB2312"/>
          <w:color w:val="000000"/>
          <w:sz w:val="32"/>
          <w:szCs w:val="32"/>
          <w:highlight w:val="none"/>
          <w:shd w:val="clear" w:color="auto" w:fill="FFFFFF"/>
        </w:rPr>
        <w:t>万人次，利用“柳州交管”新媒体平台和各级媒体发布关于电动自行车有关图文视频</w:t>
      </w:r>
      <w:r>
        <w:rPr>
          <w:rFonts w:hint="eastAsia" w:ascii="Times New Roman" w:hAnsi="Times New Roman" w:eastAsia="仿宋_GB2312" w:cs="仿宋_GB2312"/>
          <w:color w:val="000000"/>
          <w:kern w:val="0"/>
          <w:sz w:val="32"/>
          <w:szCs w:val="32"/>
          <w:highlight w:val="none"/>
          <w:shd w:val="clear" w:color="auto" w:fill="auto"/>
          <w:lang w:eastAsia="zh-CN"/>
        </w:rPr>
        <w:t>6</w:t>
      </w:r>
      <w:r>
        <w:rPr>
          <w:rFonts w:hint="eastAsia" w:ascii="Times New Roman" w:hAnsi="Times New Roman" w:eastAsia="仿宋_GB2312" w:cs="仿宋_GB2312"/>
          <w:color w:val="000000"/>
          <w:kern w:val="0"/>
          <w:sz w:val="32"/>
          <w:szCs w:val="32"/>
          <w:highlight w:val="none"/>
          <w:shd w:val="clear" w:color="auto" w:fill="auto"/>
          <w:lang w:val="en-US" w:eastAsia="zh-CN"/>
        </w:rPr>
        <w:t>3</w:t>
      </w:r>
      <w:r>
        <w:rPr>
          <w:rFonts w:hint="eastAsia" w:ascii="仿宋_GB2312" w:eastAsia="仿宋_GB2312"/>
          <w:color w:val="000000"/>
          <w:sz w:val="32"/>
          <w:szCs w:val="32"/>
          <w:highlight w:val="none"/>
          <w:shd w:val="clear" w:color="auto" w:fill="FFFFFF"/>
        </w:rPr>
        <w:t>条次。</w:t>
      </w:r>
    </w:p>
    <w:p>
      <w:pPr>
        <w:keepNext w:val="0"/>
        <w:keepLines w:val="0"/>
        <w:pageBreakBefore w:val="0"/>
        <w:kinsoku/>
        <w:wordWrap/>
        <w:overflowPunct/>
        <w:topLinePunct w:val="0"/>
        <w:bidi w:val="0"/>
        <w:spacing w:line="560" w:lineRule="exact"/>
        <w:ind w:firstLine="640" w:firstLineChars="200"/>
        <w:jc w:val="both"/>
        <w:rPr>
          <w:rFonts w:hint="eastAsia" w:eastAsia="仿宋_GB2312"/>
          <w:sz w:val="32"/>
          <w:szCs w:val="32"/>
        </w:rPr>
      </w:pPr>
      <w:r>
        <w:rPr>
          <w:rFonts w:hint="eastAsia" w:ascii="黑体" w:hAnsi="黑体" w:eastAsia="黑体" w:cs="楷体_GB2312"/>
          <w:sz w:val="32"/>
          <w:szCs w:val="32"/>
        </w:rPr>
        <w:t>三、深化协同共治，消除源头风险。</w:t>
      </w:r>
      <w:r>
        <w:rPr>
          <w:rFonts w:hint="eastAsia" w:ascii="仿宋_GB2312" w:eastAsia="仿宋_GB2312"/>
          <w:color w:val="000000"/>
          <w:sz w:val="32"/>
          <w:szCs w:val="32"/>
          <w:shd w:val="clear" w:color="auto" w:fill="FFFFFF"/>
        </w:rPr>
        <w:t>联合市场监管部门每月开展专项巡查，严查违法生产、销售电动自行车以及非法改装、拼装、篡改电动自行车的行为，依法追究有关企业和个人的责任。</w:t>
      </w:r>
      <w:r>
        <w:rPr>
          <w:rFonts w:hint="eastAsia" w:ascii="仿宋_GB2312" w:eastAsia="仿宋_GB2312"/>
          <w:b/>
          <w:bCs/>
          <w:color w:val="000000"/>
          <w:sz w:val="32"/>
          <w:szCs w:val="32"/>
          <w:shd w:val="clear" w:color="auto" w:fill="FFFFFF"/>
        </w:rPr>
        <w:t>一是</w:t>
      </w:r>
      <w:r>
        <w:rPr>
          <w:rFonts w:hint="eastAsia" w:ascii="仿宋_GB2312" w:eastAsia="仿宋_GB2312"/>
          <w:color w:val="000000"/>
          <w:sz w:val="32"/>
          <w:szCs w:val="32"/>
          <w:shd w:val="clear" w:color="auto" w:fill="FFFFFF"/>
        </w:rPr>
        <w:t>严查电动自行车生产销售改装环节违法违规行为。经摸排，柳州电动自行车销售单位</w:t>
      </w:r>
      <w:r>
        <w:rPr>
          <w:rFonts w:hint="eastAsia" w:ascii="Times New Roman" w:hAnsi="Times New Roman" w:eastAsia="仿宋_GB2312" w:cs="仿宋_GB2312"/>
          <w:color w:val="000000"/>
          <w:kern w:val="0"/>
          <w:sz w:val="32"/>
          <w:szCs w:val="32"/>
          <w:shd w:val="clear" w:color="auto" w:fill="auto"/>
        </w:rPr>
        <w:t>1078</w:t>
      </w:r>
      <w:r>
        <w:rPr>
          <w:rFonts w:hint="eastAsia" w:ascii="仿宋_GB2312" w:eastAsia="仿宋_GB2312"/>
          <w:color w:val="000000"/>
          <w:sz w:val="32"/>
          <w:szCs w:val="32"/>
          <w:shd w:val="clear" w:color="auto" w:fill="FFFFFF"/>
        </w:rPr>
        <w:t>家，暂无电动自行车生产单位。自</w:t>
      </w:r>
      <w:r>
        <w:rPr>
          <w:rFonts w:hint="eastAsia" w:ascii="Times New Roman" w:hAnsi="Times New Roman" w:eastAsia="仿宋_GB2312" w:cs="仿宋_GB2312"/>
          <w:color w:val="000000"/>
          <w:kern w:val="0"/>
          <w:sz w:val="32"/>
          <w:szCs w:val="32"/>
          <w:shd w:val="clear" w:color="auto" w:fill="auto"/>
        </w:rPr>
        <w:t>2025</w:t>
      </w:r>
      <w:r>
        <w:rPr>
          <w:rFonts w:hint="eastAsia" w:ascii="仿宋_GB2312" w:eastAsia="仿宋_GB2312"/>
          <w:color w:val="000000"/>
          <w:sz w:val="32"/>
          <w:szCs w:val="32"/>
          <w:shd w:val="clear" w:color="auto" w:fill="FFFFFF"/>
        </w:rPr>
        <w:t>年开展电动自行车全链条整治以来，约谈销售单位</w:t>
      </w:r>
      <w:r>
        <w:rPr>
          <w:rFonts w:hint="eastAsia" w:ascii="Times New Roman" w:hAnsi="Times New Roman" w:eastAsia="仿宋_GB2312" w:cs="仿宋_GB2312"/>
          <w:color w:val="000000"/>
          <w:kern w:val="0"/>
          <w:sz w:val="32"/>
          <w:szCs w:val="32"/>
          <w:shd w:val="clear" w:color="auto" w:fill="auto"/>
        </w:rPr>
        <w:t>541</w:t>
      </w:r>
      <w:r>
        <w:rPr>
          <w:rFonts w:hint="eastAsia" w:ascii="仿宋_GB2312" w:eastAsia="仿宋_GB2312"/>
          <w:color w:val="000000"/>
          <w:sz w:val="32"/>
          <w:szCs w:val="32"/>
          <w:shd w:val="clear" w:color="auto" w:fill="FFFFFF"/>
        </w:rPr>
        <w:t>家，责令整改</w:t>
      </w:r>
      <w:r>
        <w:rPr>
          <w:rFonts w:hint="eastAsia" w:ascii="Times New Roman" w:hAnsi="Times New Roman" w:eastAsia="仿宋_GB2312" w:cs="仿宋_GB2312"/>
          <w:color w:val="000000"/>
          <w:kern w:val="0"/>
          <w:sz w:val="32"/>
          <w:szCs w:val="32"/>
          <w:shd w:val="clear" w:color="auto" w:fill="auto"/>
        </w:rPr>
        <w:t>143</w:t>
      </w:r>
      <w:r>
        <w:rPr>
          <w:rFonts w:hint="eastAsia" w:ascii="仿宋_GB2312" w:eastAsia="仿宋_GB2312"/>
          <w:color w:val="000000"/>
          <w:sz w:val="32"/>
          <w:szCs w:val="32"/>
          <w:shd w:val="clear" w:color="auto" w:fill="FFFFFF"/>
        </w:rPr>
        <w:t>家，暂停、撤销电动自行车</w:t>
      </w:r>
      <w:r>
        <w:rPr>
          <w:rFonts w:hint="default" w:ascii="Times New Roman" w:eastAsia="仿宋_GB2312" w:cs="Times New Roman"/>
          <w:color w:val="000000"/>
          <w:sz w:val="32"/>
          <w:szCs w:val="32"/>
          <w:shd w:val="clear" w:color="auto" w:fill="FFFFFF"/>
        </w:rPr>
        <w:t>CCC</w:t>
      </w:r>
      <w:r>
        <w:rPr>
          <w:rFonts w:hint="eastAsia" w:ascii="仿宋_GB2312" w:eastAsia="仿宋_GB2312"/>
          <w:color w:val="000000"/>
          <w:sz w:val="32"/>
          <w:szCs w:val="32"/>
          <w:shd w:val="clear" w:color="auto" w:fill="FFFFFF"/>
        </w:rPr>
        <w:t>认证证书</w:t>
      </w:r>
      <w:r>
        <w:rPr>
          <w:rFonts w:hint="eastAsia" w:ascii="Times New Roman" w:hAnsi="Times New Roman" w:eastAsia="仿宋_GB2312" w:cs="仿宋_GB2312"/>
          <w:color w:val="000000"/>
          <w:kern w:val="0"/>
          <w:sz w:val="32"/>
          <w:szCs w:val="32"/>
          <w:shd w:val="clear" w:color="auto" w:fill="auto"/>
        </w:rPr>
        <w:t>44</w:t>
      </w:r>
      <w:r>
        <w:rPr>
          <w:rFonts w:hint="eastAsia" w:ascii="仿宋_GB2312" w:eastAsia="仿宋_GB2312"/>
          <w:color w:val="000000"/>
          <w:sz w:val="32"/>
          <w:szCs w:val="32"/>
          <w:shd w:val="clear" w:color="auto" w:fill="FFFFFF"/>
        </w:rPr>
        <w:t>张</w:t>
      </w:r>
      <w:r>
        <w:rPr>
          <w:rFonts w:hint="eastAsia" w:ascii="仿宋_GB2312" w:eastAsia="仿宋_GB2312"/>
          <w:color w:val="000000"/>
          <w:sz w:val="32"/>
          <w:szCs w:val="32"/>
          <w:highlight w:val="none"/>
          <w:shd w:val="clear" w:color="auto" w:fill="FFFFFF"/>
          <w:lang w:eastAsia="zh-CN"/>
        </w:rPr>
        <w:t>；</w:t>
      </w:r>
      <w:r>
        <w:rPr>
          <w:rFonts w:hint="eastAsia" w:ascii="仿宋_GB2312" w:eastAsia="仿宋_GB2312"/>
          <w:color w:val="000000"/>
          <w:sz w:val="32"/>
          <w:szCs w:val="32"/>
          <w:highlight w:val="none"/>
          <w:shd w:val="clear" w:color="auto" w:fill="FFFFFF"/>
        </w:rPr>
        <w:t>查办电动自行车相关违法案件</w:t>
      </w:r>
      <w:r>
        <w:rPr>
          <w:rFonts w:hint="eastAsia" w:ascii="Times New Roman" w:hAnsi="Times New Roman" w:eastAsia="仿宋_GB2312" w:cs="仿宋_GB2312"/>
          <w:color w:val="000000"/>
          <w:kern w:val="0"/>
          <w:sz w:val="32"/>
          <w:szCs w:val="32"/>
          <w:highlight w:val="none"/>
          <w:shd w:val="clear" w:color="auto" w:fill="auto"/>
        </w:rPr>
        <w:t>145</w:t>
      </w:r>
      <w:r>
        <w:rPr>
          <w:rFonts w:hint="eastAsia" w:ascii="仿宋_GB2312" w:eastAsia="仿宋_GB2312"/>
          <w:color w:val="000000"/>
          <w:sz w:val="32"/>
          <w:szCs w:val="32"/>
          <w:highlight w:val="none"/>
          <w:shd w:val="clear" w:color="auto" w:fill="FFFFFF"/>
        </w:rPr>
        <w:t>件，其中查办非法拼改装案件</w:t>
      </w:r>
      <w:r>
        <w:rPr>
          <w:rFonts w:hint="eastAsia" w:ascii="Times New Roman" w:hAnsi="Times New Roman" w:eastAsia="仿宋_GB2312" w:cs="仿宋_GB2312"/>
          <w:color w:val="000000"/>
          <w:kern w:val="0"/>
          <w:sz w:val="32"/>
          <w:szCs w:val="32"/>
          <w:highlight w:val="none"/>
          <w:shd w:val="clear" w:color="auto" w:fill="auto"/>
        </w:rPr>
        <w:t>122</w:t>
      </w:r>
      <w:r>
        <w:rPr>
          <w:rFonts w:hint="eastAsia" w:ascii="仿宋_GB2312" w:eastAsia="仿宋_GB2312"/>
          <w:color w:val="000000"/>
          <w:sz w:val="32"/>
          <w:szCs w:val="32"/>
          <w:highlight w:val="none"/>
          <w:shd w:val="clear" w:color="auto" w:fill="FFFFFF"/>
        </w:rPr>
        <w:t>件，查封扣押车辆</w:t>
      </w:r>
      <w:r>
        <w:rPr>
          <w:rFonts w:hint="eastAsia" w:ascii="Times New Roman" w:hAnsi="Times New Roman" w:eastAsia="仿宋_GB2312" w:cs="仿宋_GB2312"/>
          <w:color w:val="000000"/>
          <w:kern w:val="0"/>
          <w:sz w:val="32"/>
          <w:szCs w:val="32"/>
          <w:highlight w:val="none"/>
          <w:shd w:val="clear" w:color="auto" w:fill="auto"/>
        </w:rPr>
        <w:t>698</w:t>
      </w:r>
      <w:r>
        <w:rPr>
          <w:rFonts w:hint="eastAsia" w:ascii="仿宋_GB2312" w:eastAsia="仿宋_GB2312"/>
          <w:color w:val="000000"/>
          <w:sz w:val="32"/>
          <w:szCs w:val="32"/>
          <w:highlight w:val="none"/>
          <w:shd w:val="clear" w:color="auto" w:fill="FFFFFF"/>
        </w:rPr>
        <w:t>台，没收涉案电动自行车</w:t>
      </w:r>
      <w:r>
        <w:rPr>
          <w:rFonts w:hint="eastAsia" w:ascii="Times New Roman" w:hAnsi="Times New Roman" w:eastAsia="仿宋_GB2312" w:cs="仿宋_GB2312"/>
          <w:color w:val="000000"/>
          <w:kern w:val="0"/>
          <w:sz w:val="32"/>
          <w:szCs w:val="32"/>
          <w:highlight w:val="none"/>
          <w:shd w:val="clear" w:color="auto" w:fill="auto"/>
        </w:rPr>
        <w:t>130</w:t>
      </w:r>
      <w:r>
        <w:rPr>
          <w:rFonts w:hint="eastAsia" w:ascii="仿宋_GB2312" w:eastAsia="仿宋_GB2312"/>
          <w:color w:val="000000"/>
          <w:sz w:val="32"/>
          <w:szCs w:val="32"/>
          <w:highlight w:val="none"/>
          <w:shd w:val="clear" w:color="auto" w:fill="FFFFFF"/>
        </w:rPr>
        <w:t>台，罚没款共计</w:t>
      </w:r>
      <w:r>
        <w:rPr>
          <w:rFonts w:hint="eastAsia" w:ascii="Times New Roman" w:hAnsi="Times New Roman" w:eastAsia="仿宋_GB2312" w:cs="仿宋_GB2312"/>
          <w:color w:val="000000"/>
          <w:kern w:val="0"/>
          <w:sz w:val="32"/>
          <w:szCs w:val="32"/>
          <w:highlight w:val="none"/>
          <w:shd w:val="clear" w:color="auto" w:fill="auto"/>
        </w:rPr>
        <w:t>85.2</w:t>
      </w:r>
      <w:r>
        <w:rPr>
          <w:rFonts w:hint="eastAsia" w:ascii="仿宋_GB2312" w:eastAsia="仿宋_GB2312"/>
          <w:color w:val="000000"/>
          <w:sz w:val="32"/>
          <w:szCs w:val="32"/>
          <w:highlight w:val="none"/>
          <w:shd w:val="clear" w:color="auto" w:fill="FFFFFF"/>
        </w:rPr>
        <w:t>万元。</w:t>
      </w:r>
      <w:r>
        <w:rPr>
          <w:rFonts w:hint="eastAsia" w:ascii="Times New Roman" w:hAnsi="Times New Roman" w:eastAsia="仿宋_GB2312" w:cs="仿宋_GB2312"/>
          <w:color w:val="000000"/>
          <w:kern w:val="0"/>
          <w:sz w:val="32"/>
          <w:szCs w:val="32"/>
          <w:shd w:val="clear" w:color="auto" w:fill="auto"/>
        </w:rPr>
        <w:t>2026</w:t>
      </w:r>
      <w:r>
        <w:rPr>
          <w:rFonts w:hint="eastAsia" w:ascii="仿宋_GB2312" w:eastAsia="仿宋_GB2312"/>
          <w:color w:val="000000"/>
          <w:sz w:val="32"/>
          <w:szCs w:val="32"/>
          <w:shd w:val="clear" w:color="auto" w:fill="FFFFFF"/>
        </w:rPr>
        <w:t>年，常态化开展电动自行车专项检查，检查销售单位</w:t>
      </w:r>
      <w:r>
        <w:rPr>
          <w:rFonts w:hint="eastAsia" w:ascii="Times New Roman" w:hAnsi="Times New Roman" w:eastAsia="仿宋_GB2312" w:cs="仿宋_GB2312"/>
          <w:color w:val="000000"/>
          <w:kern w:val="0"/>
          <w:sz w:val="32"/>
          <w:szCs w:val="32"/>
          <w:shd w:val="clear" w:color="auto" w:fill="auto"/>
        </w:rPr>
        <w:t>488</w:t>
      </w:r>
      <w:r>
        <w:rPr>
          <w:rFonts w:hint="eastAsia" w:ascii="仿宋_GB2312" w:eastAsia="仿宋_GB2312"/>
          <w:color w:val="000000"/>
          <w:sz w:val="32"/>
          <w:szCs w:val="32"/>
          <w:shd w:val="clear" w:color="auto" w:fill="FFFFFF"/>
        </w:rPr>
        <w:t>家次，查办非法拼改装违法案件</w:t>
      </w:r>
      <w:r>
        <w:rPr>
          <w:rFonts w:hint="eastAsia" w:ascii="Times New Roman" w:hAnsi="Times New Roman" w:eastAsia="仿宋_GB2312" w:cs="仿宋_GB2312"/>
          <w:color w:val="000000"/>
          <w:kern w:val="0"/>
          <w:sz w:val="32"/>
          <w:szCs w:val="32"/>
          <w:shd w:val="clear" w:color="auto" w:fill="auto"/>
        </w:rPr>
        <w:t>4</w:t>
      </w:r>
      <w:r>
        <w:rPr>
          <w:rFonts w:hint="eastAsia" w:ascii="仿宋_GB2312" w:eastAsia="仿宋_GB2312"/>
          <w:color w:val="000000"/>
          <w:sz w:val="32"/>
          <w:szCs w:val="32"/>
          <w:shd w:val="clear" w:color="auto" w:fill="FFFFFF"/>
        </w:rPr>
        <w:t>件，查扣涉案电动自行</w:t>
      </w:r>
      <w:r>
        <w:rPr>
          <w:rFonts w:hint="default" w:ascii="Times New Roman" w:eastAsia="仿宋_GB2312" w:cs="Times New Roman"/>
          <w:color w:val="000000"/>
          <w:sz w:val="32"/>
          <w:szCs w:val="32"/>
          <w:shd w:val="clear" w:color="auto" w:fill="FFFFFF"/>
        </w:rPr>
        <w:t>车10辆，</w:t>
      </w:r>
      <w:r>
        <w:rPr>
          <w:rFonts w:hint="eastAsia" w:ascii="仿宋_GB2312" w:eastAsia="仿宋_GB2312"/>
          <w:color w:val="000000"/>
          <w:sz w:val="32"/>
          <w:szCs w:val="32"/>
          <w:shd w:val="clear" w:color="auto" w:fill="FFFFFF"/>
        </w:rPr>
        <w:t>罚没金额</w:t>
      </w:r>
      <w:r>
        <w:rPr>
          <w:rFonts w:hint="eastAsia" w:ascii="Times New Roman" w:hAnsi="Times New Roman" w:eastAsia="仿宋_GB2312" w:cs="仿宋_GB2312"/>
          <w:color w:val="000000"/>
          <w:kern w:val="0"/>
          <w:sz w:val="32"/>
          <w:szCs w:val="32"/>
          <w:shd w:val="clear" w:color="auto" w:fill="auto"/>
        </w:rPr>
        <w:t>1.8</w:t>
      </w:r>
      <w:r>
        <w:rPr>
          <w:rFonts w:hint="eastAsia" w:ascii="Times New Roman" w:hAnsi="Times New Roman" w:eastAsia="仿宋_GB2312" w:cs="仿宋_GB2312"/>
          <w:color w:val="000000"/>
          <w:kern w:val="0"/>
          <w:sz w:val="32"/>
          <w:szCs w:val="32"/>
          <w:shd w:val="clear" w:color="auto" w:fill="auto"/>
          <w:lang w:val="en-US" w:eastAsia="zh-CN"/>
        </w:rPr>
        <w:t>29</w:t>
      </w:r>
      <w:r>
        <w:rPr>
          <w:rFonts w:hint="eastAsia" w:ascii="仿宋_GB2312" w:eastAsia="仿宋_GB2312"/>
          <w:color w:val="000000"/>
          <w:sz w:val="32"/>
          <w:szCs w:val="32"/>
          <w:shd w:val="clear" w:color="auto" w:fill="FFFFFF"/>
        </w:rPr>
        <w:t>万元。</w:t>
      </w:r>
      <w:r>
        <w:rPr>
          <w:rFonts w:ascii="仿宋_GB2312" w:hAnsi="宋体" w:eastAsia="仿宋_GB2312" w:cs="仿宋_GB2312"/>
          <w:b/>
          <w:bCs/>
          <w:color w:val="000000"/>
          <w:sz w:val="32"/>
          <w:szCs w:val="32"/>
        </w:rPr>
        <w:t>二是</w:t>
      </w:r>
      <w:r>
        <w:rPr>
          <w:rFonts w:ascii="仿宋_GB2312" w:hAnsi="宋体" w:eastAsia="仿宋_GB2312" w:cs="仿宋_GB2312"/>
          <w:color w:val="000000"/>
          <w:sz w:val="32"/>
          <w:szCs w:val="32"/>
        </w:rPr>
        <w:t>强化部门协同联动。</w:t>
      </w:r>
      <w:r>
        <w:rPr>
          <w:rFonts w:hint="eastAsia" w:ascii="仿宋_GB2312" w:eastAsia="仿宋_GB2312"/>
          <w:color w:val="000000"/>
          <w:sz w:val="32"/>
          <w:szCs w:val="32"/>
          <w:shd w:val="clear" w:color="auto" w:fill="FFFFFF"/>
        </w:rPr>
        <w:t>联合</w:t>
      </w:r>
      <w:r>
        <w:rPr>
          <w:rFonts w:ascii="仿宋_GB2312" w:hAnsi="宋体" w:eastAsia="仿宋_GB2312" w:cs="仿宋_GB2312"/>
          <w:color w:val="000000"/>
          <w:sz w:val="32"/>
          <w:szCs w:val="32"/>
        </w:rPr>
        <w:t>市场监管部门开展专项执法行动，聚焦</w:t>
      </w:r>
      <w:r>
        <w:rPr>
          <w:rFonts w:hint="eastAsia" w:ascii="仿宋_GB2312" w:hAnsi="仿宋_GB2312" w:eastAsia="仿宋_GB2312" w:cs="仿宋_GB2312"/>
          <w:color w:val="000000"/>
          <w:sz w:val="32"/>
          <w:szCs w:val="32"/>
        </w:rPr>
        <w:t>“</w:t>
      </w:r>
      <w:r>
        <w:rPr>
          <w:rFonts w:ascii="仿宋_GB2312" w:hAnsi="宋体" w:eastAsia="仿宋_GB2312" w:cs="仿宋_GB2312"/>
          <w:color w:val="000000"/>
          <w:sz w:val="32"/>
          <w:szCs w:val="32"/>
        </w:rPr>
        <w:t>飙车炸街</w:t>
      </w:r>
      <w:r>
        <w:rPr>
          <w:rFonts w:hint="eastAsia" w:ascii="仿宋_GB2312" w:hAnsi="仿宋_GB2312" w:eastAsia="仿宋_GB2312" w:cs="仿宋_GB2312"/>
          <w:color w:val="000000"/>
          <w:sz w:val="32"/>
          <w:szCs w:val="32"/>
        </w:rPr>
        <w:t>”高发区域和时段，采取定点检查与流动巡查相结合的方式，查处“飙车炸街”</w:t>
      </w:r>
      <w:r>
        <w:rPr>
          <w:rFonts w:ascii="仿宋_GB2312" w:hAnsi="宋体" w:eastAsia="仿宋_GB2312" w:cs="仿宋_GB2312"/>
          <w:color w:val="000000"/>
          <w:sz w:val="32"/>
          <w:szCs w:val="32"/>
        </w:rPr>
        <w:t>及非法改装行为，溯源追查改装源头，形成高压震慑。自</w:t>
      </w:r>
      <w:r>
        <w:rPr>
          <w:rFonts w:hint="eastAsia" w:ascii="Times New Roman" w:hAnsi="Times New Roman" w:eastAsia="仿宋_GB2312" w:cs="仿宋_GB2312"/>
          <w:color w:val="000000"/>
          <w:kern w:val="0"/>
          <w:sz w:val="32"/>
          <w:szCs w:val="32"/>
        </w:rPr>
        <w:t>2026</w:t>
      </w:r>
      <w:r>
        <w:rPr>
          <w:rFonts w:ascii="仿宋_GB2312" w:hAnsi="宋体" w:eastAsia="仿宋_GB2312" w:cs="仿宋_GB2312"/>
          <w:color w:val="000000"/>
          <w:sz w:val="32"/>
          <w:szCs w:val="32"/>
        </w:rPr>
        <w:t>年</w:t>
      </w:r>
      <w:r>
        <w:rPr>
          <w:rFonts w:hint="eastAsia" w:ascii="Times New Roman" w:hAnsi="Times New Roman" w:eastAsia="仿宋_GB2312" w:cs="仿宋_GB2312"/>
          <w:color w:val="000000"/>
          <w:kern w:val="0"/>
          <w:sz w:val="32"/>
          <w:szCs w:val="32"/>
        </w:rPr>
        <w:t>4</w:t>
      </w:r>
      <w:r>
        <w:rPr>
          <w:rFonts w:ascii="仿宋_GB2312" w:hAnsi="宋体" w:eastAsia="仿宋_GB2312" w:cs="仿宋_GB2312"/>
          <w:color w:val="000000"/>
          <w:sz w:val="32"/>
          <w:szCs w:val="32"/>
        </w:rPr>
        <w:t>月份以来，共开展联合执法</w:t>
      </w:r>
      <w:r>
        <w:rPr>
          <w:rFonts w:hint="eastAsia" w:ascii="Times New Roman" w:hAnsi="Times New Roman" w:eastAsia="仿宋_GB2312" w:cs="仿宋_GB2312"/>
          <w:color w:val="000000"/>
          <w:kern w:val="0"/>
          <w:sz w:val="32"/>
          <w:szCs w:val="32"/>
        </w:rPr>
        <w:t>6</w:t>
      </w:r>
      <w:r>
        <w:rPr>
          <w:rFonts w:ascii="仿宋_GB2312" w:hAnsi="宋体" w:eastAsia="仿宋_GB2312" w:cs="仿宋_GB2312"/>
          <w:color w:val="000000"/>
          <w:sz w:val="32"/>
          <w:szCs w:val="32"/>
        </w:rPr>
        <w:t>次，其中在鱼峰区乐群路“</w:t>
      </w:r>
      <w:r>
        <w:rPr>
          <w:rFonts w:hint="eastAsia" w:ascii="Times New Roman" w:hAnsi="Times New Roman" w:eastAsia="仿宋_GB2312" w:cs="仿宋_GB2312"/>
          <w:color w:val="000000"/>
          <w:kern w:val="0"/>
          <w:sz w:val="32"/>
          <w:szCs w:val="32"/>
        </w:rPr>
        <w:t>4</w:t>
      </w:r>
      <w:r>
        <w:rPr>
          <w:rFonts w:hint="default" w:ascii="Times New Roman" w:hAnsi="Times New Roman" w:eastAsia="宋体" w:cs="Times New Roman"/>
          <w:color w:val="000000"/>
          <w:sz w:val="32"/>
          <w:szCs w:val="32"/>
        </w:rPr>
        <w:t>·</w:t>
      </w:r>
      <w:r>
        <w:rPr>
          <w:rFonts w:hint="eastAsia" w:ascii="Times New Roman" w:hAnsi="Times New Roman" w:eastAsia="仿宋_GB2312" w:cs="仿宋_GB2312"/>
          <w:color w:val="000000"/>
          <w:kern w:val="0"/>
          <w:sz w:val="32"/>
          <w:szCs w:val="32"/>
        </w:rPr>
        <w:t>25</w:t>
      </w:r>
      <w:r>
        <w:rPr>
          <w:rFonts w:ascii="仿宋_GB2312" w:hAnsi="宋体" w:eastAsia="仿宋_GB2312" w:cs="仿宋_GB2312"/>
          <w:color w:val="000000"/>
          <w:sz w:val="32"/>
          <w:szCs w:val="32"/>
        </w:rPr>
        <w:t>”行动中，抓获涉案人员</w:t>
      </w:r>
      <w:r>
        <w:rPr>
          <w:rFonts w:hint="eastAsia" w:ascii="Times New Roman" w:hAnsi="Times New Roman" w:eastAsia="仿宋_GB2312" w:cs="仿宋_GB2312"/>
          <w:color w:val="000000"/>
          <w:kern w:val="0"/>
          <w:sz w:val="32"/>
          <w:szCs w:val="32"/>
        </w:rPr>
        <w:t>3</w:t>
      </w:r>
      <w:r>
        <w:rPr>
          <w:rFonts w:ascii="仿宋_GB2312" w:hAnsi="宋体" w:eastAsia="仿宋_GB2312" w:cs="仿宋_GB2312"/>
          <w:color w:val="000000"/>
          <w:sz w:val="32"/>
          <w:szCs w:val="32"/>
        </w:rPr>
        <w:t>名，查扣非法改装车辆</w:t>
      </w:r>
      <w:r>
        <w:rPr>
          <w:rFonts w:hint="eastAsia" w:ascii="Times New Roman" w:hAnsi="Times New Roman" w:eastAsia="仿宋_GB2312" w:cs="仿宋_GB2312"/>
          <w:color w:val="000000"/>
          <w:kern w:val="0"/>
          <w:sz w:val="32"/>
          <w:szCs w:val="32"/>
        </w:rPr>
        <w:t>65</w:t>
      </w:r>
      <w:r>
        <w:rPr>
          <w:rFonts w:ascii="仿宋_GB2312" w:hAnsi="宋体" w:eastAsia="仿宋_GB2312" w:cs="仿宋_GB2312"/>
          <w:color w:val="000000"/>
          <w:sz w:val="32"/>
          <w:szCs w:val="32"/>
        </w:rPr>
        <w:t>辆</w:t>
      </w:r>
      <w:r>
        <w:rPr>
          <w:rFonts w:hint="eastAsia" w:ascii="宋体" w:hAnsi="宋体" w:cs="宋体"/>
          <w:sz w:val="24"/>
          <w:szCs w:val="24"/>
          <w:highlight w:val="none"/>
        </w:rPr>
        <w:t>。</w:t>
      </w:r>
      <w:r>
        <w:rPr>
          <w:rFonts w:hint="eastAsia" w:ascii="仿宋_GB2312" w:hAnsi="宋体" w:eastAsia="仿宋_GB2312" w:cs="仿宋_GB2312"/>
          <w:b/>
          <w:bCs/>
          <w:color w:val="000000"/>
          <w:sz w:val="32"/>
          <w:szCs w:val="32"/>
        </w:rPr>
        <w:t>三是</w:t>
      </w:r>
      <w:r>
        <w:rPr>
          <w:rFonts w:hint="eastAsia" w:ascii="仿宋_GB2312" w:hAnsi="宋体" w:eastAsia="仿宋_GB2312" w:cs="仿宋_GB2312"/>
          <w:color w:val="000000"/>
          <w:sz w:val="32"/>
          <w:szCs w:val="32"/>
        </w:rPr>
        <w:t>强化</w:t>
      </w:r>
      <w:r>
        <w:rPr>
          <w:rFonts w:ascii="仿宋_GB2312" w:hAnsi="宋体" w:eastAsia="仿宋_GB2312" w:cs="仿宋_GB2312"/>
          <w:color w:val="000000"/>
          <w:sz w:val="32"/>
          <w:szCs w:val="32"/>
        </w:rPr>
        <w:t>外卖快递行业监管</w:t>
      </w:r>
      <w:r>
        <w:rPr>
          <w:rFonts w:hint="eastAsia" w:ascii="仿宋_GB2312" w:hAnsi="宋体" w:eastAsia="仿宋_GB2312" w:cs="仿宋_GB2312"/>
          <w:color w:val="000000"/>
          <w:sz w:val="32"/>
          <w:szCs w:val="32"/>
        </w:rPr>
        <w:t>。</w:t>
      </w:r>
      <w:r>
        <w:rPr>
          <w:rFonts w:hint="eastAsia" w:eastAsia="仿宋_GB2312"/>
          <w:sz w:val="32"/>
          <w:szCs w:val="32"/>
        </w:rPr>
        <w:t>联合交通运输、邮政管理部门加强对物流配送、快递、外卖企业管理指导力度，严格准入门槛，确保从业人员、车辆配齐牌证和头盔。依托公安交管大数据分析平台统计外卖骑手等交通违法信息，定期将外卖骑手交通违法情况通报相关企业，推动行业优化绩效考核规则，更加合理地设定配送时限、路线。</w:t>
      </w:r>
    </w:p>
    <w:p>
      <w:pPr>
        <w:keepNext w:val="0"/>
        <w:keepLines w:val="0"/>
        <w:pageBreakBefore w:val="0"/>
        <w:kinsoku/>
        <w:wordWrap/>
        <w:overflowPunct/>
        <w:topLinePunct w:val="0"/>
        <w:bidi w:val="0"/>
        <w:spacing w:line="560" w:lineRule="exact"/>
        <w:ind w:firstLine="640" w:firstLineChars="200"/>
        <w:jc w:val="both"/>
        <w:rPr>
          <w:rFonts w:hint="eastAsia" w:eastAsia="仿宋_GB2312"/>
          <w:sz w:val="32"/>
          <w:szCs w:val="32"/>
        </w:rPr>
      </w:pPr>
      <w:r>
        <w:rPr>
          <w:rFonts w:hint="eastAsia" w:ascii="黑体" w:hAnsi="黑体" w:eastAsia="黑体" w:cs="楷体_GB2312"/>
          <w:sz w:val="32"/>
          <w:szCs w:val="32"/>
        </w:rPr>
        <w:t>四、完善交通设施，筑牢安全屏障。</w:t>
      </w:r>
      <w:r>
        <w:rPr>
          <w:rFonts w:hint="eastAsia" w:eastAsia="仿宋_GB2312"/>
          <w:sz w:val="32"/>
          <w:szCs w:val="32"/>
        </w:rPr>
        <w:t>坚持放管结合、疏堵结合，努力为非机动车创造良好的通行环境。</w:t>
      </w:r>
      <w:r>
        <w:rPr>
          <w:rFonts w:hint="eastAsia" w:eastAsia="仿宋_GB2312"/>
          <w:b/>
          <w:bCs/>
          <w:sz w:val="32"/>
          <w:szCs w:val="32"/>
        </w:rPr>
        <w:t>一是</w:t>
      </w:r>
      <w:r>
        <w:rPr>
          <w:rFonts w:hint="eastAsia" w:eastAsia="仿宋_GB2312"/>
          <w:sz w:val="32"/>
          <w:szCs w:val="32"/>
        </w:rPr>
        <w:t>保障通行权益。在全市27个路口</w:t>
      </w:r>
      <w:r>
        <w:rPr>
          <w:rFonts w:eastAsia="仿宋_GB2312"/>
          <w:sz w:val="32"/>
          <w:szCs w:val="32"/>
        </w:rPr>
        <w:t>因地制宜推广</w:t>
      </w:r>
      <w:r>
        <w:rPr>
          <w:rFonts w:hint="eastAsia" w:eastAsia="仿宋_GB2312"/>
          <w:sz w:val="32"/>
          <w:szCs w:val="32"/>
        </w:rPr>
        <w:t>实行</w:t>
      </w:r>
      <w:r>
        <w:rPr>
          <w:rFonts w:eastAsia="仿宋_GB2312"/>
          <w:sz w:val="32"/>
          <w:szCs w:val="32"/>
        </w:rPr>
        <w:t>城市路口慢行一体化设计，优化非机动车通行路径，引导非机动车有序等候、顺畅通过。针对电动自行车起步快的特点，</w:t>
      </w:r>
      <w:r>
        <w:rPr>
          <w:rFonts w:hint="eastAsia" w:eastAsia="仿宋_GB2312"/>
          <w:sz w:val="32"/>
          <w:szCs w:val="32"/>
        </w:rPr>
        <w:t>在73个城市路口推行非机动车左转一次过街。优化</w:t>
      </w:r>
      <w:r>
        <w:rPr>
          <w:rFonts w:eastAsia="仿宋_GB2312"/>
          <w:sz w:val="32"/>
          <w:szCs w:val="32"/>
        </w:rPr>
        <w:t>电动自行车待行区</w:t>
      </w:r>
      <w:r>
        <w:rPr>
          <w:rFonts w:hint="eastAsia" w:eastAsia="仿宋_GB2312"/>
          <w:sz w:val="32"/>
          <w:szCs w:val="32"/>
        </w:rPr>
        <w:t>设计</w:t>
      </w:r>
      <w:r>
        <w:rPr>
          <w:rFonts w:eastAsia="仿宋_GB2312"/>
          <w:sz w:val="32"/>
          <w:szCs w:val="32"/>
        </w:rPr>
        <w:t>，与机动车同相位放行，</w:t>
      </w:r>
      <w:r>
        <w:rPr>
          <w:rFonts w:hint="eastAsia" w:eastAsia="仿宋_GB2312"/>
          <w:sz w:val="32"/>
          <w:szCs w:val="32"/>
        </w:rPr>
        <w:t>缓解</w:t>
      </w:r>
      <w:r>
        <w:rPr>
          <w:rFonts w:eastAsia="仿宋_GB2312"/>
          <w:sz w:val="32"/>
          <w:szCs w:val="32"/>
        </w:rPr>
        <w:t>电动自行车二次过街渠化岛蓄车能力不足以及行人与电动自行车过街冲突问题</w:t>
      </w:r>
      <w:r>
        <w:rPr>
          <w:rFonts w:hint="eastAsia" w:eastAsia="仿宋_GB2312"/>
          <w:sz w:val="32"/>
          <w:szCs w:val="32"/>
        </w:rPr>
        <w:t>。</w:t>
      </w:r>
      <w:r>
        <w:rPr>
          <w:rFonts w:hint="eastAsia" w:eastAsia="仿宋_GB2312"/>
          <w:b/>
          <w:bCs/>
          <w:sz w:val="32"/>
          <w:szCs w:val="32"/>
        </w:rPr>
        <w:t>二是</w:t>
      </w:r>
      <w:r>
        <w:rPr>
          <w:rFonts w:hint="eastAsia" w:eastAsia="仿宋_GB2312"/>
          <w:sz w:val="32"/>
          <w:szCs w:val="32"/>
        </w:rPr>
        <w:t>排查安全隐患。</w:t>
      </w:r>
      <w:r>
        <w:rPr>
          <w:rFonts w:hint="eastAsia" w:ascii="仿宋_GB2312" w:hAnsi="宋体" w:eastAsia="仿宋_GB2312" w:cs="仿宋_GB2312"/>
          <w:color w:val="000000"/>
          <w:sz w:val="32"/>
          <w:szCs w:val="32"/>
          <w:highlight w:val="none"/>
        </w:rPr>
        <w:t>对近三年来涉</w:t>
      </w:r>
      <w:r>
        <w:rPr>
          <w:rFonts w:hint="eastAsia" w:ascii="仿宋_GB2312" w:hAnsi="宋体" w:eastAsia="仿宋_GB2312" w:cs="仿宋_GB2312"/>
          <w:color w:val="000000"/>
          <w:sz w:val="32"/>
          <w:szCs w:val="32"/>
          <w:highlight w:val="none"/>
          <w:lang w:eastAsia="zh-CN"/>
        </w:rPr>
        <w:t>及电动自行车交通</w:t>
      </w:r>
      <w:r>
        <w:rPr>
          <w:rFonts w:hint="eastAsia" w:ascii="仿宋_GB2312" w:hAnsi="宋体" w:eastAsia="仿宋_GB2312" w:cs="仿宋_GB2312"/>
          <w:color w:val="000000"/>
          <w:sz w:val="32"/>
          <w:szCs w:val="32"/>
          <w:highlight w:val="none"/>
        </w:rPr>
        <w:t>事故</w:t>
      </w:r>
      <w:r>
        <w:rPr>
          <w:rFonts w:hint="eastAsia" w:ascii="仿宋_GB2312" w:hAnsi="宋体" w:eastAsia="仿宋_GB2312" w:cs="仿宋_GB2312"/>
          <w:color w:val="000000"/>
          <w:sz w:val="32"/>
          <w:szCs w:val="32"/>
        </w:rPr>
        <w:t>多发易发路段情况进行全面排查梳理和分析研判，筛查出</w:t>
      </w:r>
      <w:r>
        <w:rPr>
          <w:rFonts w:hint="eastAsia" w:ascii="Times New Roman" w:hAnsi="Times New Roman" w:eastAsia="仿宋_GB2312" w:cs="Times New Roman"/>
          <w:color w:val="000000"/>
          <w:sz w:val="32"/>
          <w:szCs w:val="32"/>
        </w:rPr>
        <w:t>53</w:t>
      </w:r>
      <w:r>
        <w:rPr>
          <w:rFonts w:hint="eastAsia" w:ascii="仿宋_GB2312" w:hAnsi="宋体" w:eastAsia="仿宋_GB2312" w:cs="仿宋_GB2312"/>
          <w:color w:val="000000"/>
          <w:sz w:val="32"/>
          <w:szCs w:val="32"/>
        </w:rPr>
        <w:t>处发生过</w:t>
      </w:r>
      <w:r>
        <w:rPr>
          <w:rFonts w:hint="eastAsia" w:ascii="仿宋_GB2312" w:hAnsi="仿宋_GB2312" w:eastAsia="仿宋_GB2312" w:cs="仿宋_GB2312"/>
          <w:sz w:val="32"/>
          <w:szCs w:val="32"/>
        </w:rPr>
        <w:t>电动自行车与隔离花带路缘石、道路</w:t>
      </w:r>
      <w:r>
        <w:rPr>
          <w:rFonts w:hint="eastAsia" w:ascii="仿宋_GB2312" w:hAnsi="仿宋_GB2312" w:eastAsia="仿宋_GB2312" w:cs="仿宋_GB2312"/>
          <w:sz w:val="32"/>
          <w:szCs w:val="32"/>
          <w:lang w:bidi="ar-SA"/>
        </w:rPr>
        <w:t>路沿发生碰撞的点段，</w:t>
      </w:r>
      <w:r>
        <w:rPr>
          <w:rFonts w:hint="eastAsia" w:ascii="仿宋_GB2312" w:hAnsi="宋体" w:eastAsia="仿宋_GB2312" w:cs="仿宋_GB2312"/>
          <w:color w:val="000000"/>
          <w:sz w:val="32"/>
          <w:szCs w:val="32"/>
        </w:rPr>
        <w:t>逐一建立问题隐患清单和责任措施清单，并及时在缺乏反光警示标志的端头前增设反光警示提示标志等设施</w:t>
      </w:r>
      <w:r>
        <w:rPr>
          <w:rFonts w:hint="eastAsia" w:eastAsia="仿宋_GB2312"/>
          <w:sz w:val="32"/>
          <w:szCs w:val="32"/>
        </w:rPr>
        <w:t>。</w:t>
      </w:r>
      <w:r>
        <w:rPr>
          <w:rFonts w:hint="eastAsia" w:eastAsia="仿宋_GB2312"/>
          <w:b/>
          <w:bCs/>
          <w:sz w:val="32"/>
          <w:szCs w:val="32"/>
        </w:rPr>
        <w:t>三是</w:t>
      </w:r>
      <w:r>
        <w:rPr>
          <w:rFonts w:hint="eastAsia" w:eastAsia="仿宋_GB2312"/>
          <w:sz w:val="32"/>
          <w:szCs w:val="32"/>
        </w:rPr>
        <w:t>完善右转安全设施。针对大型车辆因内轮差、视觉盲区易与非机动车和行人发生刮擦、碾压事故问题，在全市97个城区重点路口设置“右转危险区”警示标识，同类事故起数、死亡人数大幅下降。</w:t>
      </w:r>
      <w:r>
        <w:rPr>
          <w:rFonts w:hint="eastAsia" w:eastAsia="仿宋_GB2312"/>
          <w:b/>
          <w:bCs/>
          <w:sz w:val="32"/>
          <w:szCs w:val="32"/>
        </w:rPr>
        <w:t>四是</w:t>
      </w:r>
      <w:r>
        <w:rPr>
          <w:rFonts w:hint="eastAsia" w:eastAsia="仿宋_GB2312"/>
          <w:sz w:val="32"/>
          <w:szCs w:val="32"/>
        </w:rPr>
        <w:t>开展非机动车“亮尾行动”。在销售点、上牌点为新购电动自行车免费粘贴反光标识，动员组织各方力量深入电动车集中停放点，免费发放、粘贴反光标识。据统计，全市</w:t>
      </w:r>
      <w:r>
        <w:rPr>
          <w:rFonts w:hint="eastAsia" w:ascii="仿宋_GB2312" w:hAnsi="仿宋_GB2312" w:eastAsia="仿宋_GB2312" w:cs="仿宋_GB2312"/>
          <w:bCs/>
          <w:sz w:val="32"/>
          <w:szCs w:val="32"/>
        </w:rPr>
        <w:t>为电动自行车免费粘贴“亮尾”标志共</w:t>
      </w:r>
      <w:r>
        <w:rPr>
          <w:rFonts w:hint="eastAsia" w:ascii="Times New Roman" w:hAnsi="Times New Roman" w:eastAsia="仿宋_GB2312" w:cs="Times New Roman"/>
          <w:bCs w:val="0"/>
          <w:sz w:val="32"/>
          <w:szCs w:val="32"/>
        </w:rPr>
        <w:t>39</w:t>
      </w:r>
      <w:r>
        <w:rPr>
          <w:rFonts w:hint="eastAsia" w:ascii="仿宋_GB2312" w:hAnsi="仿宋_GB2312" w:eastAsia="仿宋_GB2312" w:cs="仿宋_GB2312"/>
          <w:bCs/>
          <w:sz w:val="32"/>
          <w:szCs w:val="32"/>
        </w:rPr>
        <w:t>万份，发放新</w:t>
      </w:r>
      <w:bookmarkStart w:id="0" w:name="_GoBack"/>
      <w:bookmarkEnd w:id="0"/>
      <w:r>
        <w:rPr>
          <w:rFonts w:hint="eastAsia" w:ascii="仿宋_GB2312" w:hAnsi="仿宋_GB2312" w:eastAsia="仿宋_GB2312" w:cs="仿宋_GB2312"/>
          <w:bCs/>
          <w:sz w:val="32"/>
          <w:szCs w:val="32"/>
        </w:rPr>
        <w:t>的电动自行车反光车牌</w:t>
      </w:r>
      <w:r>
        <w:rPr>
          <w:rFonts w:hint="eastAsia" w:ascii="Times New Roman" w:hAnsi="Times New Roman" w:eastAsia="仿宋_GB2312" w:cs="Times New Roman"/>
          <w:bCs w:val="0"/>
          <w:sz w:val="32"/>
          <w:szCs w:val="32"/>
        </w:rPr>
        <w:t>9</w:t>
      </w:r>
      <w:r>
        <w:rPr>
          <w:rFonts w:hint="eastAsia" w:ascii="Times New Roman" w:hAnsi="Times New Roman" w:eastAsia="仿宋_GB2312" w:cs="Times New Roman"/>
          <w:bCs w:val="0"/>
          <w:sz w:val="32"/>
          <w:szCs w:val="32"/>
          <w:lang w:val="en-US" w:eastAsia="zh-CN"/>
        </w:rPr>
        <w:t>6228</w:t>
      </w:r>
      <w:r>
        <w:rPr>
          <w:rFonts w:hint="eastAsia" w:ascii="仿宋_GB2312" w:hAnsi="仿宋_GB2312" w:eastAsia="仿宋_GB2312" w:cs="仿宋_GB2312"/>
          <w:bCs/>
          <w:sz w:val="32"/>
          <w:szCs w:val="32"/>
        </w:rPr>
        <w:t>块，涉及二轮电动车亡人事故占比从</w:t>
      </w:r>
      <w:r>
        <w:rPr>
          <w:rFonts w:hint="eastAsia" w:ascii="Times New Roman" w:hAnsi="Times New Roman" w:eastAsia="仿宋_GB2312" w:cs="Times New Roman"/>
          <w:bCs w:val="0"/>
          <w:sz w:val="32"/>
          <w:szCs w:val="32"/>
        </w:rPr>
        <w:t>2019</w:t>
      </w:r>
      <w:r>
        <w:rPr>
          <w:rFonts w:hint="eastAsia" w:ascii="仿宋_GB2312" w:hAnsi="仿宋_GB2312" w:eastAsia="仿宋_GB2312" w:cs="仿宋_GB2312"/>
          <w:bCs/>
          <w:sz w:val="32"/>
          <w:szCs w:val="32"/>
        </w:rPr>
        <w:t>年的高峰时超过</w:t>
      </w:r>
      <w:r>
        <w:rPr>
          <w:rFonts w:hint="eastAsia" w:ascii="Times New Roman" w:hAnsi="Times New Roman" w:eastAsia="仿宋_GB2312" w:cs="Times New Roman"/>
          <w:bCs w:val="0"/>
          <w:sz w:val="32"/>
          <w:szCs w:val="32"/>
        </w:rPr>
        <w:t>60%</w:t>
      </w:r>
      <w:r>
        <w:rPr>
          <w:rFonts w:hint="eastAsia" w:ascii="仿宋_GB2312" w:hAnsi="仿宋_GB2312" w:eastAsia="仿宋_GB2312" w:cs="仿宋_GB2312"/>
          <w:bCs/>
          <w:sz w:val="32"/>
          <w:szCs w:val="32"/>
        </w:rPr>
        <w:t>降至</w:t>
      </w:r>
      <w:r>
        <w:rPr>
          <w:rFonts w:hint="eastAsia" w:ascii="Times New Roman" w:hAnsi="Times New Roman" w:eastAsia="仿宋_GB2312" w:cs="Times New Roman"/>
          <w:bCs w:val="0"/>
          <w:sz w:val="32"/>
          <w:szCs w:val="32"/>
        </w:rPr>
        <w:t>26%</w:t>
      </w:r>
      <w:r>
        <w:rPr>
          <w:rFonts w:hint="eastAsia" w:ascii="仿宋_GB2312" w:hAnsi="仿宋_GB2312" w:eastAsia="仿宋_GB2312" w:cs="仿宋_GB2312"/>
          <w:bCs/>
          <w:sz w:val="32"/>
          <w:szCs w:val="32"/>
        </w:rPr>
        <w:t>。</w:t>
      </w:r>
    </w:p>
    <w:p>
      <w:pPr>
        <w:keepNext w:val="0"/>
        <w:keepLines w:val="0"/>
        <w:pageBreakBefore w:val="0"/>
        <w:kinsoku/>
        <w:wordWrap/>
        <w:overflowPunct/>
        <w:topLinePunct w:val="0"/>
        <w:bidi w:val="0"/>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专此答复，诚挚感谢您对柳州市交通管理工作的关心支持。</w:t>
      </w:r>
    </w:p>
    <w:p>
      <w:pPr>
        <w:pStyle w:val="7"/>
        <w:keepNext w:val="0"/>
        <w:keepLines w:val="0"/>
        <w:pageBreakBefore w:val="0"/>
        <w:kinsoku/>
        <w:wordWrap/>
        <w:overflowPunct/>
        <w:topLinePunct w:val="0"/>
        <w:bidi w:val="0"/>
        <w:spacing w:line="560" w:lineRule="exact"/>
        <w:rPr>
          <w:rFonts w:hint="eastAsia" w:ascii="仿宋_GB2312" w:hAnsi="仿宋_GB2312" w:eastAsia="仿宋_GB2312" w:cs="仿宋_GB2312"/>
          <w:sz w:val="32"/>
          <w:szCs w:val="32"/>
          <w:lang w:eastAsia="zh-CN"/>
        </w:rPr>
      </w:pPr>
    </w:p>
    <w:p>
      <w:pPr>
        <w:keepNext w:val="0"/>
        <w:keepLines w:val="0"/>
        <w:pageBreakBefore w:val="0"/>
        <w:kinsoku/>
        <w:wordWrap/>
        <w:overflowPunct/>
        <w:topLinePunct w:val="0"/>
        <w:bidi w:val="0"/>
        <w:spacing w:line="560" w:lineRule="exact"/>
        <w:ind w:firstLine="0" w:firstLineChars="0"/>
        <w:jc w:val="left"/>
        <w:rPr>
          <w:rFonts w:hint="eastAsia" w:ascii="仿宋_GB2312" w:hAnsi="仿宋_GB2312" w:eastAsia="仿宋_GB2312" w:cs="仿宋_GB2312"/>
          <w:sz w:val="32"/>
          <w:szCs w:val="32"/>
        </w:rPr>
      </w:pPr>
    </w:p>
    <w:p>
      <w:pPr>
        <w:keepNext w:val="0"/>
        <w:keepLines w:val="0"/>
        <w:pageBreakBefore w:val="0"/>
        <w:kinsoku/>
        <w:wordWrap/>
        <w:overflowPunct/>
        <w:topLinePunct w:val="0"/>
        <w:bidi w:val="0"/>
        <w:spacing w:line="560" w:lineRule="exact"/>
        <w:ind w:firstLine="5600" w:firstLineChars="1750"/>
        <w:jc w:val="left"/>
        <w:rPr>
          <w:rFonts w:hint="eastAsia" w:eastAsia="仿宋_GB2312" w:cs="仿宋_GB2312"/>
          <w:sz w:val="32"/>
          <w:szCs w:val="32"/>
          <w:lang w:eastAsia="zh-CN"/>
        </w:rPr>
      </w:pPr>
      <w:r>
        <w:rPr>
          <w:rFonts w:hint="eastAsia" w:ascii="Times New Roman" w:hAnsi="Times New Roman" w:eastAsia="仿宋_GB2312" w:cs="Times New Roman"/>
          <w:sz w:val="32"/>
          <w:szCs w:val="32"/>
          <w:lang w:eastAsia="zh-CN"/>
        </w:rPr>
        <w:t>柳州市</w:t>
      </w:r>
      <w:r>
        <w:rPr>
          <w:rFonts w:hint="eastAsia" w:eastAsia="仿宋_GB2312" w:cs="仿宋_GB2312"/>
          <w:sz w:val="32"/>
          <w:szCs w:val="32"/>
          <w:lang w:eastAsia="zh-CN"/>
        </w:rPr>
        <w:t>公安局</w:t>
      </w:r>
    </w:p>
    <w:p>
      <w:pPr>
        <w:keepNext w:val="0"/>
        <w:keepLines w:val="0"/>
        <w:pageBreakBefore w:val="0"/>
        <w:kinsoku/>
        <w:wordWrap/>
        <w:overflowPunct/>
        <w:topLinePunct w:val="0"/>
        <w:bidi w:val="0"/>
        <w:spacing w:line="560" w:lineRule="exact"/>
        <w:ind w:firstLine="5440" w:firstLineChars="1700"/>
        <w:jc w:val="left"/>
        <w:rPr>
          <w:rFonts w:hint="default" w:eastAsia="仿宋_GB2312"/>
          <w:sz w:val="32"/>
          <w:szCs w:val="32"/>
        </w:rPr>
      </w:pPr>
      <w:r>
        <w:rPr>
          <w:rFonts w:hint="eastAsia" w:eastAsia="仿宋_GB2312"/>
          <w:sz w:val="32"/>
          <w:szCs w:val="32"/>
        </w:rPr>
        <w:t>2026</w:t>
      </w:r>
      <w:r>
        <w:rPr>
          <w:rFonts w:eastAsia="仿宋_GB2312"/>
          <w:sz w:val="32"/>
          <w:szCs w:val="32"/>
        </w:rPr>
        <w:t>年</w:t>
      </w:r>
      <w:r>
        <w:rPr>
          <w:rFonts w:hint="eastAsia" w:eastAsia="仿宋_GB2312"/>
          <w:sz w:val="32"/>
          <w:szCs w:val="32"/>
          <w:lang w:val="en-US" w:eastAsia="zh-CN"/>
        </w:rPr>
        <w:t>7</w:t>
      </w:r>
      <w:r>
        <w:rPr>
          <w:rFonts w:eastAsia="仿宋_GB2312"/>
          <w:sz w:val="32"/>
          <w:szCs w:val="32"/>
        </w:rPr>
        <w:t>月</w:t>
      </w:r>
      <w:r>
        <w:rPr>
          <w:rFonts w:hint="eastAsia" w:eastAsia="仿宋_GB2312"/>
          <w:sz w:val="32"/>
          <w:szCs w:val="32"/>
          <w:lang w:val="en-US" w:eastAsia="zh-CN"/>
        </w:rPr>
        <w:t>7</w:t>
      </w:r>
      <w:r>
        <w:rPr>
          <w:rFonts w:eastAsia="仿宋_GB2312"/>
          <w:sz w:val="32"/>
          <w:szCs w:val="32"/>
        </w:rPr>
        <w:t>日</w:t>
      </w:r>
    </w:p>
    <w:sectPr>
      <w:footerReference r:id="rId3" w:type="default"/>
      <w:pgSz w:w="11906" w:h="16838"/>
      <w:pgMar w:top="1531" w:right="1440" w:bottom="1417" w:left="144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0AFF" w:usb1="00007843" w:usb2="00000001" w:usb3="00000000" w:csb0="400001BF" w:csb1="DFF7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Angsana New">
    <w:panose1 w:val="02020603050405020304"/>
    <w:charset w:val="00"/>
    <w:family w:val="roman"/>
    <w:pitch w:val="default"/>
    <w:sig w:usb0="81000003" w:usb1="00000000" w:usb2="00000000" w:usb3="00000000" w:csb0="00010001" w:csb1="00000000"/>
  </w:font>
  <w:font w:name="方正仿宋简体">
    <w:altName w:val="微软雅黑"/>
    <w:panose1 w:val="00000000000000000000"/>
    <w:charset w:val="00"/>
    <w:family w:val="auto"/>
    <w:pitch w:val="default"/>
    <w:sig w:usb0="00000000" w:usb1="00000000" w:usb2="00000012" w:usb3="00000000" w:csb0="00040001" w:csb1="00000000"/>
  </w:font>
  <w:font w:name="TimesNewRoman">
    <w:altName w:val="Segoe Print"/>
    <w:panose1 w:val="00000000000000000000"/>
    <w:charset w:val="00"/>
    <w:family w:val="auto"/>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162F25"/>
    <w:multiLevelType w:val="multilevel"/>
    <w:tmpl w:val="3A162F25"/>
    <w:lvl w:ilvl="0" w:tentative="0">
      <w:start w:val="1"/>
      <w:numFmt w:val="decimal"/>
      <w:pStyle w:val="3"/>
      <w:suff w:val="space"/>
      <w:lvlText w:val="%1"/>
      <w:lvlJc w:val="left"/>
      <w:pPr>
        <w:ind w:left="0" w:firstLine="0"/>
      </w:pPr>
      <w:rPr>
        <w:rFonts w:hint="eastAsia"/>
      </w:rPr>
    </w:lvl>
    <w:lvl w:ilvl="1" w:tentative="0">
      <w:start w:val="1"/>
      <w:numFmt w:val="decimal"/>
      <w:suff w:val="space"/>
      <w:lvlText w:val="%1.%2"/>
      <w:lvlJc w:val="left"/>
      <w:pPr>
        <w:ind w:left="240"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suff w:val="space"/>
      <w:lvlText w:val="%1.%2.%3.%4"/>
      <w:lvlJc w:val="left"/>
      <w:pPr>
        <w:ind w:left="0" w:firstLine="0"/>
      </w:pPr>
      <w:rPr>
        <w:rFonts w:hint="eastAsia"/>
      </w:rPr>
    </w:lvl>
    <w:lvl w:ilvl="4" w:tentative="0">
      <w:start w:val="1"/>
      <w:numFmt w:val="decimal"/>
      <w:suff w:val="space"/>
      <w:lvlText w:val="（%5）"/>
      <w:lvlJc w:val="left"/>
      <w:pPr>
        <w:ind w:left="0" w:firstLine="0"/>
      </w:pPr>
      <w:rPr>
        <w:rFonts w:hint="eastAsia"/>
      </w:rPr>
    </w:lvl>
    <w:lvl w:ilvl="5" w:tentative="0">
      <w:start w:val="1"/>
      <w:numFmt w:val="decimal"/>
      <w:suff w:val="space"/>
      <w:lvlText w:val="图%1-%6"/>
      <w:lvlJc w:val="left"/>
      <w:pPr>
        <w:ind w:left="0" w:firstLine="0"/>
      </w:pPr>
      <w:rPr>
        <w:rFonts w:hint="eastAsia"/>
      </w:rPr>
    </w:lvl>
    <w:lvl w:ilvl="6" w:tentative="0">
      <w:start w:val="1"/>
      <w:numFmt w:val="decimal"/>
      <w:suff w:val="space"/>
      <w:lvlText w:val="表%1-%7"/>
      <w:lvlJc w:val="left"/>
      <w:pPr>
        <w:ind w:left="0" w:firstLine="0"/>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A6A04"/>
    <w:rsid w:val="003B3BC3"/>
    <w:rsid w:val="00401333"/>
    <w:rsid w:val="005337F3"/>
    <w:rsid w:val="00726753"/>
    <w:rsid w:val="00886864"/>
    <w:rsid w:val="009E313A"/>
    <w:rsid w:val="00A037C1"/>
    <w:rsid w:val="00AE1F46"/>
    <w:rsid w:val="00B179A2"/>
    <w:rsid w:val="00BF7840"/>
    <w:rsid w:val="00F04AF2"/>
    <w:rsid w:val="03291DD8"/>
    <w:rsid w:val="048440F5"/>
    <w:rsid w:val="053130C8"/>
    <w:rsid w:val="05BC052D"/>
    <w:rsid w:val="061E3469"/>
    <w:rsid w:val="06E9602D"/>
    <w:rsid w:val="070F00A6"/>
    <w:rsid w:val="07DF7EC7"/>
    <w:rsid w:val="08770BA5"/>
    <w:rsid w:val="0B3049F4"/>
    <w:rsid w:val="0BBC0809"/>
    <w:rsid w:val="0CB267CA"/>
    <w:rsid w:val="0F5A4176"/>
    <w:rsid w:val="112668CE"/>
    <w:rsid w:val="13312056"/>
    <w:rsid w:val="138473D0"/>
    <w:rsid w:val="14475B11"/>
    <w:rsid w:val="166A5335"/>
    <w:rsid w:val="17291078"/>
    <w:rsid w:val="19482DE4"/>
    <w:rsid w:val="1AB94EC7"/>
    <w:rsid w:val="1AC903D3"/>
    <w:rsid w:val="1AE35CE0"/>
    <w:rsid w:val="1C38354E"/>
    <w:rsid w:val="1D0C1E35"/>
    <w:rsid w:val="1F664FD2"/>
    <w:rsid w:val="1F921A67"/>
    <w:rsid w:val="2052362B"/>
    <w:rsid w:val="20FC4B29"/>
    <w:rsid w:val="214D0320"/>
    <w:rsid w:val="22A5210D"/>
    <w:rsid w:val="232D41C6"/>
    <w:rsid w:val="25381F98"/>
    <w:rsid w:val="25532B4B"/>
    <w:rsid w:val="26E16E2F"/>
    <w:rsid w:val="285D10B3"/>
    <w:rsid w:val="295F38F2"/>
    <w:rsid w:val="2A8666BE"/>
    <w:rsid w:val="2CE76D9F"/>
    <w:rsid w:val="2CEA4567"/>
    <w:rsid w:val="2E2079E0"/>
    <w:rsid w:val="2EE12775"/>
    <w:rsid w:val="2FB95D61"/>
    <w:rsid w:val="33E87373"/>
    <w:rsid w:val="36565C3A"/>
    <w:rsid w:val="36753DAE"/>
    <w:rsid w:val="36D34F24"/>
    <w:rsid w:val="38397998"/>
    <w:rsid w:val="38F64977"/>
    <w:rsid w:val="3B94740C"/>
    <w:rsid w:val="3CE10339"/>
    <w:rsid w:val="3D876106"/>
    <w:rsid w:val="422853DA"/>
    <w:rsid w:val="42B36180"/>
    <w:rsid w:val="42D551E8"/>
    <w:rsid w:val="45381D5B"/>
    <w:rsid w:val="459F123C"/>
    <w:rsid w:val="4724440E"/>
    <w:rsid w:val="4A146280"/>
    <w:rsid w:val="4C397574"/>
    <w:rsid w:val="4CCC0EFD"/>
    <w:rsid w:val="4CFA59E2"/>
    <w:rsid w:val="4E0238EA"/>
    <w:rsid w:val="4ECA05DE"/>
    <w:rsid w:val="4ED3772A"/>
    <w:rsid w:val="4F155BDC"/>
    <w:rsid w:val="4F575FE1"/>
    <w:rsid w:val="50EE3680"/>
    <w:rsid w:val="525F293D"/>
    <w:rsid w:val="53F837F6"/>
    <w:rsid w:val="55AA6170"/>
    <w:rsid w:val="55BA2013"/>
    <w:rsid w:val="56D20B58"/>
    <w:rsid w:val="56DE298B"/>
    <w:rsid w:val="57F84892"/>
    <w:rsid w:val="5820218A"/>
    <w:rsid w:val="5C034222"/>
    <w:rsid w:val="5C072778"/>
    <w:rsid w:val="5C140166"/>
    <w:rsid w:val="5C287742"/>
    <w:rsid w:val="5E4E12A7"/>
    <w:rsid w:val="6051650D"/>
    <w:rsid w:val="614D4530"/>
    <w:rsid w:val="64E351B9"/>
    <w:rsid w:val="65770EFF"/>
    <w:rsid w:val="67485EF7"/>
    <w:rsid w:val="68B44E71"/>
    <w:rsid w:val="68CA32B2"/>
    <w:rsid w:val="68DE1B7F"/>
    <w:rsid w:val="69BF700A"/>
    <w:rsid w:val="6A4C3095"/>
    <w:rsid w:val="6C053CD5"/>
    <w:rsid w:val="6C285CC8"/>
    <w:rsid w:val="6CBA3F94"/>
    <w:rsid w:val="6CBC3024"/>
    <w:rsid w:val="6CC16191"/>
    <w:rsid w:val="6D131BD8"/>
    <w:rsid w:val="6D7328EE"/>
    <w:rsid w:val="6E182E27"/>
    <w:rsid w:val="6ED22131"/>
    <w:rsid w:val="6EF700E3"/>
    <w:rsid w:val="6F7D2FB9"/>
    <w:rsid w:val="6F8707C1"/>
    <w:rsid w:val="702D0B87"/>
    <w:rsid w:val="722944CD"/>
    <w:rsid w:val="750F65D8"/>
    <w:rsid w:val="75B857B5"/>
    <w:rsid w:val="75C735CB"/>
    <w:rsid w:val="75D6413B"/>
    <w:rsid w:val="76513344"/>
    <w:rsid w:val="76E67FF2"/>
    <w:rsid w:val="781F6D64"/>
    <w:rsid w:val="7A7F207F"/>
    <w:rsid w:val="7AB73072"/>
    <w:rsid w:val="7AD60415"/>
    <w:rsid w:val="7C3A6E04"/>
    <w:rsid w:val="7CCE2D39"/>
    <w:rsid w:val="7D8E60D3"/>
    <w:rsid w:val="7EB739C4"/>
    <w:rsid w:val="7F3601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8"/>
      <w:lang w:val="en-US" w:eastAsia="zh-CN" w:bidi="th-TH"/>
    </w:rPr>
  </w:style>
  <w:style w:type="paragraph" w:styleId="3">
    <w:name w:val="heading 1"/>
    <w:basedOn w:val="1"/>
    <w:next w:val="1"/>
    <w:qFormat/>
    <w:uiPriority w:val="0"/>
    <w:pPr>
      <w:keepNext/>
      <w:keepLines/>
      <w:numPr>
        <w:ilvl w:val="0"/>
        <w:numId w:val="1"/>
      </w:numPr>
      <w:ind w:firstLineChars="0"/>
      <w:outlineLvl w:val="0"/>
    </w:pPr>
    <w:rPr>
      <w:rFonts w:eastAsia="黑体"/>
      <w:b/>
      <w:bCs/>
      <w:kern w:val="44"/>
      <w:sz w:val="32"/>
      <w:szCs w:val="44"/>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next w:val="1"/>
    <w:unhideWhenUsed/>
    <w:qFormat/>
    <w:uiPriority w:val="99"/>
    <w:pPr>
      <w:ind w:firstLine="420" w:firstLineChars="200"/>
    </w:pPr>
    <w:rPr>
      <w:rFonts w:ascii="Times New Roman" w:hAnsi="Times New Roman" w:cs="Times New Roman"/>
      <w:szCs w:val="22"/>
      <w:lang w:bidi="ar-SA"/>
    </w:rPr>
  </w:style>
  <w:style w:type="paragraph" w:styleId="4">
    <w:name w:val="caption"/>
    <w:basedOn w:val="1"/>
    <w:next w:val="1"/>
    <w:semiHidden/>
    <w:unhideWhenUsed/>
    <w:qFormat/>
    <w:uiPriority w:val="0"/>
    <w:rPr>
      <w:rFonts w:ascii="Cambria" w:hAnsi="Cambria" w:eastAsia="黑体"/>
      <w:sz w:val="20"/>
      <w:szCs w:val="20"/>
    </w:rPr>
  </w:style>
  <w:style w:type="paragraph" w:styleId="5">
    <w:name w:val="Body Text Indent"/>
    <w:basedOn w:val="1"/>
    <w:qFormat/>
    <w:uiPriority w:val="0"/>
    <w:pPr>
      <w:spacing w:after="120"/>
      <w:ind w:left="420" w:leftChars="200"/>
    </w:pPr>
    <w:rPr>
      <w:rFonts w:ascii="Times New Roman" w:hAnsi="Times New Roman" w:cs="Times New Roman"/>
    </w:rPr>
  </w:style>
  <w:style w:type="paragraph" w:styleId="6">
    <w:name w:val="Plain Text"/>
    <w:basedOn w:val="1"/>
    <w:qFormat/>
    <w:uiPriority w:val="0"/>
    <w:pPr>
      <w:autoSpaceDE w:val="0"/>
      <w:autoSpaceDN w:val="0"/>
      <w:adjustRightInd w:val="0"/>
      <w:snapToGrid w:val="0"/>
      <w:spacing w:line="588" w:lineRule="atLeast"/>
    </w:pPr>
    <w:rPr>
      <w:rFonts w:ascii="宋体" w:hAnsi="Courier New" w:cs="Times New Roman"/>
      <w:kern w:val="0"/>
      <w:sz w:val="20"/>
      <w:szCs w:val="21"/>
      <w:lang w:bidi="ar-SA"/>
    </w:rPr>
  </w:style>
  <w:style w:type="paragraph" w:styleId="7">
    <w:name w:val="footer"/>
    <w:basedOn w:val="1"/>
    <w:link w:val="16"/>
    <w:qFormat/>
    <w:uiPriority w:val="0"/>
    <w:pPr>
      <w:tabs>
        <w:tab w:val="center" w:pos="4153"/>
        <w:tab w:val="right" w:pos="8306"/>
      </w:tabs>
      <w:snapToGrid w:val="0"/>
      <w:jc w:val="left"/>
    </w:pPr>
    <w:rPr>
      <w:rFonts w:cs="Angsana New"/>
      <w:sz w:val="18"/>
      <w:szCs w:val="22"/>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rFonts w:cs="Angsana New"/>
      <w:sz w:val="18"/>
      <w:szCs w:val="22"/>
    </w:rPr>
  </w:style>
  <w:style w:type="paragraph" w:styleId="9">
    <w:name w:val="footnote text"/>
    <w:basedOn w:val="1"/>
    <w:qFormat/>
    <w:uiPriority w:val="0"/>
    <w:pPr>
      <w:snapToGrid w:val="0"/>
      <w:jc w:val="left"/>
    </w:pPr>
    <w:rPr>
      <w:rFonts w:ascii="Times New Roman" w:hAnsi="Times New Roman" w:cs="Times New Roman"/>
      <w:sz w:val="18"/>
      <w:szCs w:val="18"/>
    </w:rPr>
  </w:style>
  <w:style w:type="paragraph" w:styleId="10">
    <w:name w:val="Normal (Web)"/>
    <w:basedOn w:val="1"/>
    <w:qFormat/>
    <w:uiPriority w:val="0"/>
    <w:pPr>
      <w:widowControl/>
      <w:spacing w:before="100" w:beforeAutospacing="1" w:after="100" w:afterAutospacing="1"/>
      <w:jc w:val="left"/>
    </w:pPr>
    <w:rPr>
      <w:rFonts w:ascii="宋体" w:hAnsi="宋体" w:cs="Times New Roman"/>
      <w:kern w:val="0"/>
      <w:sz w:val="24"/>
      <w:szCs w:val="24"/>
      <w:lang w:bidi="ar-SA"/>
    </w:rPr>
  </w:style>
  <w:style w:type="paragraph" w:styleId="11">
    <w:name w:val="Body Text First Indent 2"/>
    <w:basedOn w:val="5"/>
    <w:next w:val="1"/>
    <w:qFormat/>
    <w:uiPriority w:val="0"/>
    <w:pPr>
      <w:spacing w:after="0"/>
      <w:ind w:left="0" w:firstLine="420"/>
    </w:pPr>
    <w:rPr>
      <w:rFonts w:eastAsia="方正仿宋简体"/>
      <w:sz w:val="33"/>
      <w:szCs w:val="33"/>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rPr>
      <w:rFonts w:ascii="Times New Roman" w:hAnsi="Times New Roman" w:eastAsia="宋体" w:cs="Times New Roman"/>
    </w:rPr>
  </w:style>
  <w:style w:type="character" w:customStyle="1" w:styleId="16">
    <w:name w:val="页脚 Char"/>
    <w:basedOn w:val="14"/>
    <w:link w:val="7"/>
    <w:qFormat/>
    <w:uiPriority w:val="0"/>
    <w:rPr>
      <w:rFonts w:ascii="Times New Roman" w:hAnsi="Times New Roman" w:eastAsia="宋体" w:cs="Angsana New"/>
      <w:sz w:val="18"/>
      <w:szCs w:val="22"/>
    </w:rPr>
  </w:style>
  <w:style w:type="character" w:customStyle="1" w:styleId="17">
    <w:name w:val="页眉 Char"/>
    <w:basedOn w:val="14"/>
    <w:link w:val="8"/>
    <w:qFormat/>
    <w:uiPriority w:val="0"/>
    <w:rPr>
      <w:rFonts w:ascii="Times New Roman" w:hAnsi="Times New Roman" w:eastAsia="宋体" w:cs="Angsana New"/>
      <w:sz w:val="18"/>
      <w:szCs w:val="22"/>
    </w:rPr>
  </w:style>
  <w:style w:type="character" w:customStyle="1" w:styleId="18">
    <w:name w:val="fontstyle01"/>
    <w:basedOn w:val="14"/>
    <w:qFormat/>
    <w:uiPriority w:val="0"/>
    <w:rPr>
      <w:rFonts w:ascii="宋体" w:hAnsi="宋体" w:eastAsia="宋体" w:cs="宋体"/>
      <w:color w:val="000000"/>
      <w:sz w:val="28"/>
      <w:szCs w:val="28"/>
    </w:rPr>
  </w:style>
  <w:style w:type="character" w:customStyle="1" w:styleId="19">
    <w:name w:val="fontstyle21"/>
    <w:basedOn w:val="14"/>
    <w:qFormat/>
    <w:uiPriority w:val="0"/>
    <w:rPr>
      <w:rFonts w:ascii="TimesNewRoman" w:hAnsi="TimesNewRoman" w:eastAsia="TimesNewRoman" w:cs="TimesNewRoman"/>
      <w:color w:val="000000"/>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2026-09-02T01:39:00Z</dcterms:created>
  <dc:creator>Administrator</dc:creator>
  <cp:lastModifiedBy>Administrator</cp:lastModifiedBy>
  <dcterms:modified xsi:type="dcterms:W3CDTF">2026-09-02T03:53:46Z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C9BF4CDE52994387ABB43B2C7F3C23EF</vt:lpwstr>
  </property>
</Properties>
</file>